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5F2D41" w14:textId="77777777" w:rsidR="009B21C4" w:rsidRPr="009D00BD" w:rsidRDefault="009B21C4" w:rsidP="009B21C4">
      <w:pPr>
        <w:pStyle w:val="Heading1"/>
        <w:numPr>
          <w:ilvl w:val="0"/>
          <w:numId w:val="0"/>
        </w:numPr>
      </w:pPr>
      <w:bookmarkStart w:id="0" w:name="_Toc498520569"/>
      <w:bookmarkStart w:id="1" w:name="_GoBack"/>
      <w:bookmarkEnd w:id="1"/>
      <w:r>
        <w:t>C16 ABSVD informal consultation - Response Proforma</w:t>
      </w:r>
      <w:bookmarkEnd w:id="0"/>
    </w:p>
    <w:p w14:paraId="3158158B" w14:textId="77777777" w:rsidR="009B21C4" w:rsidRPr="00632192" w:rsidRDefault="009B21C4" w:rsidP="009B21C4">
      <w:pPr>
        <w:jc w:val="both"/>
        <w:rPr>
          <w:rFonts w:cs="Arial"/>
        </w:rPr>
      </w:pPr>
      <w:r w:rsidRPr="007252D8">
        <w:rPr>
          <w:rFonts w:cs="Arial"/>
        </w:rPr>
        <w:t xml:space="preserve">National Grid invites responses to this consultation by </w:t>
      </w:r>
      <w:r w:rsidRPr="009659C8">
        <w:rPr>
          <w:rFonts w:cs="Arial"/>
          <w:b/>
        </w:rPr>
        <w:t xml:space="preserve">Friday </w:t>
      </w:r>
      <w:r>
        <w:rPr>
          <w:rFonts w:cs="Arial"/>
          <w:b/>
        </w:rPr>
        <w:t>15</w:t>
      </w:r>
      <w:r w:rsidRPr="009659C8">
        <w:rPr>
          <w:rFonts w:cs="Arial"/>
          <w:b/>
          <w:vertAlign w:val="superscript"/>
        </w:rPr>
        <w:t>Th</w:t>
      </w:r>
      <w:r>
        <w:rPr>
          <w:rFonts w:cs="Arial"/>
          <w:b/>
        </w:rPr>
        <w:t xml:space="preserve"> December 2017</w:t>
      </w:r>
      <w:r w:rsidRPr="007252D8">
        <w:rPr>
          <w:rFonts w:cs="Arial"/>
        </w:rPr>
        <w:t>. The responses</w:t>
      </w:r>
      <w:r w:rsidRPr="00632192">
        <w:rPr>
          <w:rFonts w:cs="Arial"/>
        </w:rPr>
        <w:t xml:space="preserve"> to the specific consultation questions (below) or any other aspect of this consultation can be provided by completing the following proforma.</w:t>
      </w:r>
    </w:p>
    <w:p w14:paraId="1B3F43CC" w14:textId="77777777" w:rsidR="009B21C4" w:rsidRPr="00632192" w:rsidRDefault="009B21C4" w:rsidP="009B21C4">
      <w:pPr>
        <w:rPr>
          <w:rFonts w:cs="Arial"/>
        </w:rPr>
      </w:pPr>
    </w:p>
    <w:p w14:paraId="6518BBD4" w14:textId="77777777" w:rsidR="009B21C4" w:rsidRPr="00632192" w:rsidRDefault="009B21C4" w:rsidP="009B21C4">
      <w:pPr>
        <w:rPr>
          <w:rFonts w:cs="Arial"/>
        </w:rPr>
      </w:pPr>
      <w:r w:rsidRPr="00632192">
        <w:rPr>
          <w:rFonts w:cs="Arial"/>
        </w:rPr>
        <w:t xml:space="preserve">Please return the completed proforma to </w:t>
      </w:r>
      <w:hyperlink r:id="rId9" w:history="1">
        <w:r w:rsidRPr="001B1156">
          <w:rPr>
            <w:rStyle w:val="Hyperlink"/>
            <w:rFonts w:cs="Arial"/>
          </w:rPr>
          <w:t>balancingservices@nationalgrid.com</w:t>
        </w:r>
      </w:hyperlink>
    </w:p>
    <w:p w14:paraId="00EAA23D" w14:textId="77777777" w:rsidR="009B21C4" w:rsidRPr="00632192" w:rsidRDefault="009B21C4" w:rsidP="009B21C4">
      <w:p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5880"/>
      </w:tblGrid>
      <w:tr w:rsidR="009B21C4" w:rsidRPr="00C85946" w14:paraId="4A2B5B7E" w14:textId="77777777" w:rsidTr="005A0800">
        <w:tc>
          <w:tcPr>
            <w:tcW w:w="3240" w:type="dxa"/>
            <w:shd w:val="clear" w:color="auto" w:fill="99CCFF"/>
          </w:tcPr>
          <w:p w14:paraId="445EB90E" w14:textId="77777777" w:rsidR="009B21C4" w:rsidRPr="00C85946" w:rsidRDefault="009B21C4" w:rsidP="005A0800">
            <w:pPr>
              <w:pStyle w:val="RowHeading"/>
              <w:spacing w:after="120"/>
              <w:rPr>
                <w:rFonts w:ascii="Arial" w:hAnsi="Arial" w:cs="Arial"/>
              </w:rPr>
            </w:pPr>
            <w:r w:rsidRPr="00C85946">
              <w:rPr>
                <w:rFonts w:ascii="Arial" w:hAnsi="Arial" w:cs="Arial"/>
              </w:rPr>
              <w:t>Respondent:</w:t>
            </w:r>
          </w:p>
        </w:tc>
        <w:tc>
          <w:tcPr>
            <w:tcW w:w="5880" w:type="dxa"/>
            <w:shd w:val="clear" w:color="auto" w:fill="auto"/>
          </w:tcPr>
          <w:p w14:paraId="00EE1F17" w14:textId="77777777" w:rsidR="009B21C4" w:rsidRPr="00C85946" w:rsidRDefault="009B21C4" w:rsidP="005A0800">
            <w:pPr>
              <w:spacing w:after="120"/>
              <w:rPr>
                <w:rFonts w:cs="Arial"/>
                <w:color w:val="000000"/>
              </w:rPr>
            </w:pPr>
          </w:p>
        </w:tc>
      </w:tr>
      <w:tr w:rsidR="009B21C4" w:rsidRPr="00C85946" w14:paraId="4D23B7E1" w14:textId="77777777" w:rsidTr="005A0800">
        <w:tc>
          <w:tcPr>
            <w:tcW w:w="3240" w:type="dxa"/>
            <w:shd w:val="clear" w:color="auto" w:fill="99CCFF"/>
          </w:tcPr>
          <w:p w14:paraId="7C61DC12" w14:textId="77777777" w:rsidR="009B21C4" w:rsidRPr="00C85946" w:rsidRDefault="009B21C4" w:rsidP="005A0800">
            <w:pPr>
              <w:pStyle w:val="RowHeading"/>
              <w:spacing w:after="120"/>
              <w:rPr>
                <w:rFonts w:ascii="Arial" w:hAnsi="Arial" w:cs="Arial"/>
              </w:rPr>
            </w:pPr>
            <w:r w:rsidRPr="00C85946">
              <w:rPr>
                <w:rFonts w:ascii="Arial" w:hAnsi="Arial" w:cs="Arial"/>
              </w:rPr>
              <w:t>Company Name:</w:t>
            </w:r>
          </w:p>
        </w:tc>
        <w:tc>
          <w:tcPr>
            <w:tcW w:w="5880" w:type="dxa"/>
            <w:shd w:val="clear" w:color="auto" w:fill="auto"/>
          </w:tcPr>
          <w:p w14:paraId="5144880A" w14:textId="77777777" w:rsidR="009B21C4" w:rsidRPr="00C85946" w:rsidRDefault="009B21C4" w:rsidP="005A0800">
            <w:pPr>
              <w:spacing w:after="120"/>
              <w:rPr>
                <w:rFonts w:cs="Arial"/>
                <w:color w:val="000000"/>
              </w:rPr>
            </w:pPr>
          </w:p>
        </w:tc>
      </w:tr>
      <w:tr w:rsidR="009B21C4" w:rsidRPr="00C85946" w14:paraId="43997116" w14:textId="77777777" w:rsidTr="005A0800">
        <w:tc>
          <w:tcPr>
            <w:tcW w:w="3240" w:type="dxa"/>
            <w:shd w:val="clear" w:color="auto" w:fill="99CCFF"/>
          </w:tcPr>
          <w:p w14:paraId="6E52212E" w14:textId="77777777" w:rsidR="009B21C4" w:rsidRPr="00C85946" w:rsidRDefault="009B21C4" w:rsidP="005A0800">
            <w:pPr>
              <w:pStyle w:val="RowHeading"/>
              <w:spacing w:after="120"/>
              <w:rPr>
                <w:rFonts w:ascii="Arial" w:hAnsi="Arial" w:cs="Arial"/>
              </w:rPr>
            </w:pPr>
            <w:r w:rsidRPr="00C85946">
              <w:rPr>
                <w:rFonts w:ascii="Arial" w:hAnsi="Arial" w:cs="Arial"/>
              </w:rPr>
              <w:t>Does this response contain confidential information? If yes, please specify.</w:t>
            </w:r>
          </w:p>
        </w:tc>
        <w:tc>
          <w:tcPr>
            <w:tcW w:w="5880" w:type="dxa"/>
            <w:shd w:val="clear" w:color="auto" w:fill="auto"/>
          </w:tcPr>
          <w:p w14:paraId="5FCFD7DF" w14:textId="77777777" w:rsidR="009B21C4" w:rsidRPr="00C85946" w:rsidRDefault="009B21C4" w:rsidP="005A0800">
            <w:pPr>
              <w:spacing w:after="120"/>
              <w:rPr>
                <w:rFonts w:cs="Arial"/>
              </w:rPr>
            </w:pPr>
          </w:p>
        </w:tc>
      </w:tr>
    </w:tbl>
    <w:p w14:paraId="7094221F" w14:textId="77777777" w:rsidR="009B21C4" w:rsidRDefault="009B21C4" w:rsidP="009B21C4">
      <w:pPr>
        <w:rPr>
          <w:rFonts w:cs="Arial"/>
        </w:rPr>
      </w:pPr>
    </w:p>
    <w:p w14:paraId="7DEDE3E3" w14:textId="77777777" w:rsidR="009B21C4" w:rsidRPr="00632192" w:rsidRDefault="009B21C4" w:rsidP="009B21C4">
      <w:p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119"/>
        <w:gridCol w:w="1276"/>
        <w:gridCol w:w="4110"/>
      </w:tblGrid>
      <w:tr w:rsidR="009B21C4" w:rsidRPr="00C85946" w14:paraId="45A78C4D" w14:textId="77777777" w:rsidTr="005A0800">
        <w:trPr>
          <w:tblHeader/>
        </w:trPr>
        <w:tc>
          <w:tcPr>
            <w:tcW w:w="567" w:type="dxa"/>
            <w:shd w:val="clear" w:color="auto" w:fill="99CCFF"/>
          </w:tcPr>
          <w:p w14:paraId="2A4C7992" w14:textId="77777777" w:rsidR="009B21C4" w:rsidRPr="00C85946" w:rsidRDefault="009B21C4" w:rsidP="005A0800">
            <w:pPr>
              <w:pStyle w:val="ColumnHeading"/>
              <w:jc w:val="center"/>
              <w:rPr>
                <w:rFonts w:ascii="Arial" w:hAnsi="Arial" w:cs="Arial"/>
                <w:szCs w:val="20"/>
              </w:rPr>
            </w:pPr>
            <w:r w:rsidRPr="00C85946">
              <w:rPr>
                <w:rFonts w:ascii="Arial" w:hAnsi="Arial" w:cs="Arial"/>
                <w:szCs w:val="20"/>
              </w:rPr>
              <w:t>No</w:t>
            </w:r>
          </w:p>
        </w:tc>
        <w:tc>
          <w:tcPr>
            <w:tcW w:w="3119" w:type="dxa"/>
            <w:shd w:val="clear" w:color="auto" w:fill="99CCFF"/>
          </w:tcPr>
          <w:p w14:paraId="52E0A47D" w14:textId="77777777" w:rsidR="009B21C4" w:rsidRPr="00C85946" w:rsidRDefault="009B21C4" w:rsidP="005A0800">
            <w:pPr>
              <w:pStyle w:val="ColumnHeading"/>
              <w:jc w:val="center"/>
              <w:rPr>
                <w:rFonts w:ascii="Arial" w:hAnsi="Arial" w:cs="Arial"/>
                <w:szCs w:val="20"/>
              </w:rPr>
            </w:pPr>
            <w:r w:rsidRPr="00C85946">
              <w:rPr>
                <w:rFonts w:ascii="Arial" w:hAnsi="Arial" w:cs="Arial"/>
                <w:szCs w:val="20"/>
              </w:rPr>
              <w:t>Question</w:t>
            </w:r>
          </w:p>
        </w:tc>
        <w:tc>
          <w:tcPr>
            <w:tcW w:w="1276" w:type="dxa"/>
            <w:shd w:val="clear" w:color="auto" w:fill="99CCFF"/>
          </w:tcPr>
          <w:p w14:paraId="0F133012" w14:textId="77777777" w:rsidR="009B21C4" w:rsidRPr="00C85946" w:rsidRDefault="009B21C4" w:rsidP="005A0800">
            <w:pPr>
              <w:pStyle w:val="ColumnHeading"/>
              <w:jc w:val="center"/>
              <w:rPr>
                <w:rFonts w:ascii="Arial" w:hAnsi="Arial" w:cs="Arial"/>
                <w:szCs w:val="20"/>
              </w:rPr>
            </w:pPr>
            <w:r w:rsidRPr="00C85946">
              <w:rPr>
                <w:rFonts w:ascii="Arial" w:hAnsi="Arial" w:cs="Arial"/>
                <w:szCs w:val="20"/>
              </w:rPr>
              <w:t>Response</w:t>
            </w:r>
          </w:p>
          <w:p w14:paraId="6E27E227" w14:textId="77777777" w:rsidR="009B21C4" w:rsidRPr="00C85946" w:rsidRDefault="009B21C4" w:rsidP="005A0800">
            <w:pPr>
              <w:pStyle w:val="ColumnHeading"/>
              <w:jc w:val="center"/>
              <w:rPr>
                <w:rFonts w:ascii="Arial" w:hAnsi="Arial" w:cs="Arial"/>
                <w:szCs w:val="20"/>
              </w:rPr>
            </w:pPr>
            <w:r w:rsidRPr="00C85946">
              <w:rPr>
                <w:rFonts w:ascii="Arial" w:hAnsi="Arial" w:cs="Arial"/>
                <w:szCs w:val="20"/>
              </w:rPr>
              <w:t>(Y/N)</w:t>
            </w:r>
          </w:p>
        </w:tc>
        <w:tc>
          <w:tcPr>
            <w:tcW w:w="4110" w:type="dxa"/>
            <w:shd w:val="clear" w:color="auto" w:fill="99CCFF"/>
          </w:tcPr>
          <w:p w14:paraId="0B1BD42D" w14:textId="77777777" w:rsidR="009B21C4" w:rsidRPr="00C85946" w:rsidRDefault="009B21C4" w:rsidP="005A0800">
            <w:pPr>
              <w:pStyle w:val="ColumnHeading"/>
              <w:jc w:val="center"/>
              <w:rPr>
                <w:rFonts w:ascii="Arial" w:hAnsi="Arial" w:cs="Arial"/>
                <w:szCs w:val="20"/>
              </w:rPr>
            </w:pPr>
            <w:r w:rsidRPr="00C85946">
              <w:rPr>
                <w:rFonts w:ascii="Arial" w:hAnsi="Arial" w:cs="Arial"/>
                <w:szCs w:val="20"/>
              </w:rPr>
              <w:t>Rationale</w:t>
            </w:r>
          </w:p>
        </w:tc>
      </w:tr>
      <w:tr w:rsidR="009B21C4" w:rsidRPr="00C85946" w14:paraId="542B6547" w14:textId="77777777" w:rsidTr="005A0800">
        <w:trPr>
          <w:cantSplit/>
        </w:trPr>
        <w:tc>
          <w:tcPr>
            <w:tcW w:w="567" w:type="dxa"/>
            <w:shd w:val="clear" w:color="auto" w:fill="auto"/>
            <w:vAlign w:val="center"/>
          </w:tcPr>
          <w:p w14:paraId="47BE4A87" w14:textId="77777777" w:rsidR="009B21C4" w:rsidRPr="00C85946" w:rsidRDefault="009B21C4" w:rsidP="005A0800">
            <w:pPr>
              <w:jc w:val="center"/>
              <w:rPr>
                <w:rFonts w:cs="Arial"/>
                <w:sz w:val="20"/>
                <w:szCs w:val="20"/>
              </w:rPr>
            </w:pPr>
            <w:r w:rsidRPr="00C85946">
              <w:rPr>
                <w:rFonts w:cs="Arial"/>
                <w:sz w:val="20"/>
                <w:szCs w:val="20"/>
              </w:rPr>
              <w:t>1</w:t>
            </w:r>
          </w:p>
        </w:tc>
        <w:tc>
          <w:tcPr>
            <w:tcW w:w="3119" w:type="dxa"/>
            <w:shd w:val="clear" w:color="auto" w:fill="auto"/>
          </w:tcPr>
          <w:p w14:paraId="6A3DEDBD" w14:textId="684FE6FF" w:rsidR="009B21C4" w:rsidRPr="009C6319" w:rsidRDefault="009B21C4" w:rsidP="00121352">
            <w:pPr>
              <w:textAlignment w:val="center"/>
              <w:rPr>
                <w:rFonts w:cs="Calibri"/>
              </w:rPr>
            </w:pPr>
            <w:r w:rsidRPr="009C6319">
              <w:rPr>
                <w:rFonts w:cs="Calibri"/>
              </w:rPr>
              <w:t xml:space="preserve">What are the issues with the provision of collared delivered volumes (by MSID pair, per settlement period) from </w:t>
            </w:r>
            <w:r w:rsidR="00121352">
              <w:rPr>
                <w:rFonts w:cs="Calibri"/>
              </w:rPr>
              <w:t>Balancing Service</w:t>
            </w:r>
            <w:r w:rsidRPr="009C6319">
              <w:rPr>
                <w:rFonts w:cs="Calibri"/>
              </w:rPr>
              <w:t xml:space="preserve"> providers to National Grid? </w:t>
            </w:r>
          </w:p>
        </w:tc>
        <w:tc>
          <w:tcPr>
            <w:tcW w:w="1276" w:type="dxa"/>
            <w:shd w:val="clear" w:color="auto" w:fill="auto"/>
          </w:tcPr>
          <w:p w14:paraId="64D65D8D" w14:textId="77777777" w:rsidR="009B21C4" w:rsidRPr="00C85946" w:rsidRDefault="009B21C4" w:rsidP="005A0800">
            <w:pPr>
              <w:rPr>
                <w:rFonts w:cs="Arial"/>
                <w:sz w:val="20"/>
                <w:szCs w:val="20"/>
              </w:rPr>
            </w:pPr>
          </w:p>
        </w:tc>
        <w:tc>
          <w:tcPr>
            <w:tcW w:w="4110" w:type="dxa"/>
            <w:shd w:val="clear" w:color="auto" w:fill="auto"/>
          </w:tcPr>
          <w:p w14:paraId="0ECFC7A9" w14:textId="77777777" w:rsidR="009B21C4" w:rsidRPr="00C85946" w:rsidRDefault="009B21C4" w:rsidP="005A0800">
            <w:pPr>
              <w:rPr>
                <w:rFonts w:cs="Arial"/>
                <w:sz w:val="20"/>
                <w:szCs w:val="20"/>
              </w:rPr>
            </w:pPr>
          </w:p>
        </w:tc>
      </w:tr>
      <w:tr w:rsidR="009B21C4" w:rsidRPr="00C85946" w14:paraId="1D9E3539" w14:textId="77777777" w:rsidTr="005A0800">
        <w:trPr>
          <w:cantSplit/>
        </w:trPr>
        <w:tc>
          <w:tcPr>
            <w:tcW w:w="567" w:type="dxa"/>
            <w:shd w:val="clear" w:color="auto" w:fill="auto"/>
            <w:vAlign w:val="center"/>
          </w:tcPr>
          <w:p w14:paraId="1FD92831" w14:textId="77777777" w:rsidR="009B21C4" w:rsidRPr="00C85946" w:rsidRDefault="009B21C4" w:rsidP="005A0800">
            <w:pPr>
              <w:jc w:val="center"/>
              <w:rPr>
                <w:rFonts w:cs="Arial"/>
                <w:sz w:val="20"/>
                <w:szCs w:val="20"/>
              </w:rPr>
            </w:pPr>
            <w:r w:rsidRPr="00C85946">
              <w:rPr>
                <w:rFonts w:cs="Arial"/>
                <w:sz w:val="20"/>
                <w:szCs w:val="20"/>
              </w:rPr>
              <w:t>2</w:t>
            </w:r>
          </w:p>
        </w:tc>
        <w:tc>
          <w:tcPr>
            <w:tcW w:w="3119" w:type="dxa"/>
            <w:shd w:val="clear" w:color="auto" w:fill="auto"/>
          </w:tcPr>
          <w:p w14:paraId="68E799A5" w14:textId="77777777" w:rsidR="009B21C4" w:rsidRPr="009C6319" w:rsidRDefault="009B21C4" w:rsidP="005A0800">
            <w:pPr>
              <w:rPr>
                <w:rFonts w:cs="Arial"/>
                <w:sz w:val="20"/>
                <w:szCs w:val="20"/>
              </w:rPr>
            </w:pPr>
            <w:r w:rsidRPr="009C6319">
              <w:rPr>
                <w:rFonts w:cs="Calibri"/>
              </w:rPr>
              <w:t>Can you provide any examples/evidence of when the proposed process flow may not work?</w:t>
            </w:r>
          </w:p>
        </w:tc>
        <w:tc>
          <w:tcPr>
            <w:tcW w:w="1276" w:type="dxa"/>
            <w:shd w:val="clear" w:color="auto" w:fill="auto"/>
          </w:tcPr>
          <w:p w14:paraId="17FE317A" w14:textId="77777777" w:rsidR="009B21C4" w:rsidRPr="00C85946" w:rsidRDefault="009B21C4" w:rsidP="005A0800">
            <w:pPr>
              <w:rPr>
                <w:rFonts w:cs="Arial"/>
                <w:sz w:val="20"/>
                <w:szCs w:val="20"/>
              </w:rPr>
            </w:pPr>
          </w:p>
        </w:tc>
        <w:tc>
          <w:tcPr>
            <w:tcW w:w="4110" w:type="dxa"/>
            <w:shd w:val="clear" w:color="auto" w:fill="auto"/>
          </w:tcPr>
          <w:p w14:paraId="0DBCC354" w14:textId="77777777" w:rsidR="009B21C4" w:rsidRPr="00C85946" w:rsidRDefault="009B21C4" w:rsidP="005A0800">
            <w:pPr>
              <w:rPr>
                <w:rFonts w:cs="Arial"/>
                <w:sz w:val="20"/>
                <w:szCs w:val="20"/>
              </w:rPr>
            </w:pPr>
          </w:p>
        </w:tc>
      </w:tr>
      <w:tr w:rsidR="009B21C4" w:rsidRPr="00C85946" w14:paraId="2F7998E5" w14:textId="77777777" w:rsidTr="005A0800">
        <w:trPr>
          <w:cantSplit/>
        </w:trPr>
        <w:tc>
          <w:tcPr>
            <w:tcW w:w="567" w:type="dxa"/>
            <w:shd w:val="clear" w:color="auto" w:fill="auto"/>
            <w:vAlign w:val="center"/>
          </w:tcPr>
          <w:p w14:paraId="596C9F07" w14:textId="77777777" w:rsidR="009B21C4" w:rsidRPr="00C85946" w:rsidRDefault="009B21C4" w:rsidP="005A0800">
            <w:pPr>
              <w:jc w:val="center"/>
              <w:rPr>
                <w:rFonts w:cs="Arial"/>
                <w:sz w:val="20"/>
                <w:szCs w:val="20"/>
              </w:rPr>
            </w:pPr>
            <w:r w:rsidRPr="00C85946">
              <w:rPr>
                <w:rFonts w:cs="Arial"/>
                <w:sz w:val="20"/>
                <w:szCs w:val="20"/>
              </w:rPr>
              <w:t>3</w:t>
            </w:r>
          </w:p>
        </w:tc>
        <w:tc>
          <w:tcPr>
            <w:tcW w:w="3119" w:type="dxa"/>
            <w:shd w:val="clear" w:color="auto" w:fill="auto"/>
          </w:tcPr>
          <w:p w14:paraId="371DA8C9" w14:textId="77777777" w:rsidR="009B21C4" w:rsidRPr="009C6319" w:rsidRDefault="009B21C4" w:rsidP="005A0800">
            <w:pPr>
              <w:textAlignment w:val="center"/>
              <w:rPr>
                <w:rFonts w:cs="Calibri"/>
              </w:rPr>
            </w:pPr>
            <w:r w:rsidRPr="009C6319">
              <w:rPr>
                <w:rFonts w:cs="Calibri"/>
              </w:rPr>
              <w:t>Where backing data received from National Grid is used as the basis for allocating delivered volumes to MSID pair:  Approximately how long would it take for service providers to undertake this exercise following the receipt of the data?</w:t>
            </w:r>
          </w:p>
        </w:tc>
        <w:tc>
          <w:tcPr>
            <w:tcW w:w="1276" w:type="dxa"/>
            <w:shd w:val="clear" w:color="auto" w:fill="auto"/>
          </w:tcPr>
          <w:p w14:paraId="07E0E750" w14:textId="77777777" w:rsidR="009B21C4" w:rsidRPr="00C85946" w:rsidRDefault="009B21C4" w:rsidP="005A0800">
            <w:pPr>
              <w:rPr>
                <w:rFonts w:cs="Arial"/>
                <w:sz w:val="20"/>
                <w:szCs w:val="20"/>
              </w:rPr>
            </w:pPr>
          </w:p>
        </w:tc>
        <w:tc>
          <w:tcPr>
            <w:tcW w:w="4110" w:type="dxa"/>
            <w:shd w:val="clear" w:color="auto" w:fill="auto"/>
          </w:tcPr>
          <w:p w14:paraId="5A1695B1" w14:textId="77777777" w:rsidR="009B21C4" w:rsidRPr="00C85946" w:rsidRDefault="009B21C4" w:rsidP="005A0800">
            <w:pPr>
              <w:rPr>
                <w:rFonts w:cs="Arial"/>
                <w:sz w:val="20"/>
                <w:szCs w:val="20"/>
              </w:rPr>
            </w:pPr>
          </w:p>
        </w:tc>
      </w:tr>
      <w:tr w:rsidR="009B21C4" w:rsidRPr="00C85946" w14:paraId="1CCAAC8C" w14:textId="77777777" w:rsidTr="005A0800">
        <w:trPr>
          <w:cantSplit/>
        </w:trPr>
        <w:tc>
          <w:tcPr>
            <w:tcW w:w="567" w:type="dxa"/>
            <w:shd w:val="clear" w:color="auto" w:fill="auto"/>
            <w:vAlign w:val="center"/>
          </w:tcPr>
          <w:p w14:paraId="66EB4AC0" w14:textId="77777777" w:rsidR="009B21C4" w:rsidRPr="00C85946" w:rsidRDefault="009B21C4" w:rsidP="005A0800">
            <w:pPr>
              <w:jc w:val="center"/>
              <w:rPr>
                <w:rFonts w:cs="Arial"/>
                <w:sz w:val="20"/>
                <w:szCs w:val="20"/>
              </w:rPr>
            </w:pPr>
            <w:r w:rsidRPr="00C85946">
              <w:rPr>
                <w:rFonts w:cs="Arial"/>
                <w:sz w:val="20"/>
                <w:szCs w:val="20"/>
              </w:rPr>
              <w:t>4</w:t>
            </w:r>
          </w:p>
        </w:tc>
        <w:tc>
          <w:tcPr>
            <w:tcW w:w="3119" w:type="dxa"/>
            <w:shd w:val="clear" w:color="auto" w:fill="auto"/>
          </w:tcPr>
          <w:p w14:paraId="6B9FA57A" w14:textId="77777777" w:rsidR="009B21C4" w:rsidRPr="009C6319" w:rsidRDefault="009B21C4" w:rsidP="005A0800">
            <w:pPr>
              <w:rPr>
                <w:rFonts w:cs="Arial"/>
                <w:sz w:val="20"/>
                <w:szCs w:val="20"/>
              </w:rPr>
            </w:pPr>
            <w:r w:rsidRPr="009C6319">
              <w:rPr>
                <w:rFonts w:cs="Calibri"/>
              </w:rPr>
              <w:t>Where backing data is not available or not a preferred option, are there any issues with using operational metering data to derive collared delivered volumes?</w:t>
            </w:r>
          </w:p>
        </w:tc>
        <w:tc>
          <w:tcPr>
            <w:tcW w:w="1276" w:type="dxa"/>
            <w:shd w:val="clear" w:color="auto" w:fill="auto"/>
          </w:tcPr>
          <w:p w14:paraId="669C3194" w14:textId="77777777" w:rsidR="009B21C4" w:rsidRPr="00C85946" w:rsidRDefault="009B21C4" w:rsidP="005A0800">
            <w:pPr>
              <w:rPr>
                <w:rFonts w:cs="Arial"/>
                <w:sz w:val="20"/>
                <w:szCs w:val="20"/>
              </w:rPr>
            </w:pPr>
          </w:p>
        </w:tc>
        <w:tc>
          <w:tcPr>
            <w:tcW w:w="4110" w:type="dxa"/>
            <w:shd w:val="clear" w:color="auto" w:fill="auto"/>
          </w:tcPr>
          <w:p w14:paraId="1126E923" w14:textId="77777777" w:rsidR="009B21C4" w:rsidRPr="00C85946" w:rsidRDefault="009B21C4" w:rsidP="005A0800">
            <w:pPr>
              <w:rPr>
                <w:rFonts w:cs="Arial"/>
                <w:sz w:val="20"/>
                <w:szCs w:val="20"/>
              </w:rPr>
            </w:pPr>
          </w:p>
        </w:tc>
      </w:tr>
      <w:tr w:rsidR="009B21C4" w:rsidRPr="00C85946" w14:paraId="1A1865B5" w14:textId="77777777" w:rsidTr="005A0800">
        <w:trPr>
          <w:cantSplit/>
        </w:trPr>
        <w:tc>
          <w:tcPr>
            <w:tcW w:w="567" w:type="dxa"/>
            <w:shd w:val="clear" w:color="auto" w:fill="auto"/>
            <w:vAlign w:val="center"/>
          </w:tcPr>
          <w:p w14:paraId="264A3F9E" w14:textId="77777777" w:rsidR="009B21C4" w:rsidRPr="00C85946" w:rsidRDefault="009B21C4" w:rsidP="005A0800">
            <w:pPr>
              <w:jc w:val="center"/>
              <w:rPr>
                <w:rFonts w:cs="Arial"/>
                <w:sz w:val="20"/>
                <w:szCs w:val="20"/>
              </w:rPr>
            </w:pPr>
            <w:r w:rsidRPr="00C85946">
              <w:rPr>
                <w:rFonts w:cs="Arial"/>
                <w:sz w:val="20"/>
                <w:szCs w:val="20"/>
              </w:rPr>
              <w:t>5</w:t>
            </w:r>
          </w:p>
        </w:tc>
        <w:tc>
          <w:tcPr>
            <w:tcW w:w="3119" w:type="dxa"/>
            <w:shd w:val="clear" w:color="auto" w:fill="auto"/>
          </w:tcPr>
          <w:p w14:paraId="09775230" w14:textId="77777777" w:rsidR="009B21C4" w:rsidRPr="009C6319" w:rsidRDefault="009B21C4" w:rsidP="005A0800">
            <w:pPr>
              <w:textAlignment w:val="center"/>
              <w:rPr>
                <w:rFonts w:cs="Calibri"/>
              </w:rPr>
            </w:pPr>
            <w:r w:rsidRPr="009C6319">
              <w:rPr>
                <w:rFonts w:cs="Calibri"/>
              </w:rPr>
              <w:t>What priority should be given to accuracy of information vs. speed of imbalance adjustment? I.e. is basing volume submissions on backing data a priority over reaching an earlier stage of settlement runs?</w:t>
            </w:r>
          </w:p>
        </w:tc>
        <w:tc>
          <w:tcPr>
            <w:tcW w:w="1276" w:type="dxa"/>
            <w:shd w:val="clear" w:color="auto" w:fill="auto"/>
          </w:tcPr>
          <w:p w14:paraId="4198C159" w14:textId="77777777" w:rsidR="009B21C4" w:rsidRPr="00C85946" w:rsidRDefault="009B21C4" w:rsidP="005A0800">
            <w:pPr>
              <w:jc w:val="center"/>
              <w:rPr>
                <w:rFonts w:cs="Arial"/>
                <w:sz w:val="20"/>
                <w:szCs w:val="20"/>
              </w:rPr>
            </w:pPr>
          </w:p>
        </w:tc>
        <w:tc>
          <w:tcPr>
            <w:tcW w:w="4110" w:type="dxa"/>
            <w:shd w:val="clear" w:color="auto" w:fill="auto"/>
          </w:tcPr>
          <w:p w14:paraId="1C3E38DE" w14:textId="77777777" w:rsidR="009B21C4" w:rsidRPr="00C85946" w:rsidRDefault="009B21C4" w:rsidP="005A0800">
            <w:pPr>
              <w:jc w:val="center"/>
              <w:rPr>
                <w:rFonts w:cs="Arial"/>
                <w:sz w:val="20"/>
                <w:szCs w:val="20"/>
              </w:rPr>
            </w:pPr>
          </w:p>
        </w:tc>
      </w:tr>
      <w:tr w:rsidR="009B21C4" w:rsidRPr="00C85946" w14:paraId="6980E7AF" w14:textId="77777777" w:rsidTr="005A0800">
        <w:trPr>
          <w:cantSplit/>
        </w:trPr>
        <w:tc>
          <w:tcPr>
            <w:tcW w:w="567" w:type="dxa"/>
            <w:shd w:val="clear" w:color="auto" w:fill="auto"/>
            <w:vAlign w:val="center"/>
          </w:tcPr>
          <w:p w14:paraId="3502880D" w14:textId="77777777" w:rsidR="009B21C4" w:rsidRPr="00C85946" w:rsidRDefault="009B21C4" w:rsidP="005A0800">
            <w:pPr>
              <w:jc w:val="center"/>
              <w:rPr>
                <w:rFonts w:cs="Arial"/>
                <w:sz w:val="20"/>
                <w:szCs w:val="20"/>
              </w:rPr>
            </w:pPr>
            <w:r w:rsidRPr="00C85946">
              <w:rPr>
                <w:rFonts w:cs="Arial"/>
                <w:sz w:val="20"/>
                <w:szCs w:val="20"/>
              </w:rPr>
              <w:lastRenderedPageBreak/>
              <w:t>6</w:t>
            </w:r>
          </w:p>
        </w:tc>
        <w:tc>
          <w:tcPr>
            <w:tcW w:w="3119" w:type="dxa"/>
            <w:shd w:val="clear" w:color="auto" w:fill="auto"/>
          </w:tcPr>
          <w:p w14:paraId="3D2A3683" w14:textId="77777777" w:rsidR="009B21C4" w:rsidRPr="009C6319" w:rsidRDefault="009B21C4" w:rsidP="005A0800">
            <w:pPr>
              <w:rPr>
                <w:rFonts w:cs="Arial"/>
                <w:sz w:val="20"/>
                <w:szCs w:val="20"/>
              </w:rPr>
            </w:pPr>
            <w:r w:rsidRPr="009C6319">
              <w:rPr>
                <w:rFonts w:cs="Calibri"/>
              </w:rPr>
              <w:t>What are your views on the Workgroup position that resolving this issue through the installation of separate settlement meters on each Reserve Providing Unit would not be a proportionate option?</w:t>
            </w:r>
          </w:p>
        </w:tc>
        <w:tc>
          <w:tcPr>
            <w:tcW w:w="1276" w:type="dxa"/>
            <w:shd w:val="clear" w:color="auto" w:fill="auto"/>
          </w:tcPr>
          <w:p w14:paraId="177A06A0" w14:textId="77777777" w:rsidR="009B21C4" w:rsidRPr="00C85946" w:rsidRDefault="009B21C4" w:rsidP="005A0800">
            <w:pPr>
              <w:jc w:val="center"/>
              <w:rPr>
                <w:rFonts w:cs="Arial"/>
                <w:sz w:val="20"/>
                <w:szCs w:val="20"/>
              </w:rPr>
            </w:pPr>
          </w:p>
        </w:tc>
        <w:tc>
          <w:tcPr>
            <w:tcW w:w="4110" w:type="dxa"/>
            <w:shd w:val="clear" w:color="auto" w:fill="auto"/>
          </w:tcPr>
          <w:p w14:paraId="3F5CE318" w14:textId="77777777" w:rsidR="009B21C4" w:rsidRPr="00C85946" w:rsidRDefault="009B21C4" w:rsidP="005A0800">
            <w:pPr>
              <w:jc w:val="center"/>
              <w:rPr>
                <w:rFonts w:cs="Arial"/>
                <w:sz w:val="20"/>
                <w:szCs w:val="20"/>
              </w:rPr>
            </w:pPr>
          </w:p>
        </w:tc>
      </w:tr>
      <w:tr w:rsidR="009B21C4" w:rsidRPr="00C85946" w14:paraId="316EA9BB" w14:textId="77777777" w:rsidTr="005A0800">
        <w:trPr>
          <w:cantSplit/>
        </w:trPr>
        <w:tc>
          <w:tcPr>
            <w:tcW w:w="567" w:type="dxa"/>
            <w:shd w:val="clear" w:color="auto" w:fill="auto"/>
            <w:vAlign w:val="center"/>
          </w:tcPr>
          <w:p w14:paraId="114507DB" w14:textId="77777777" w:rsidR="009B21C4" w:rsidRPr="00C85946" w:rsidRDefault="009B21C4" w:rsidP="005A0800">
            <w:pPr>
              <w:jc w:val="center"/>
              <w:rPr>
                <w:rFonts w:cs="Arial"/>
                <w:sz w:val="20"/>
                <w:szCs w:val="20"/>
              </w:rPr>
            </w:pPr>
            <w:r w:rsidRPr="00C85946">
              <w:rPr>
                <w:rFonts w:cs="Arial"/>
                <w:sz w:val="20"/>
                <w:szCs w:val="20"/>
              </w:rPr>
              <w:t>7</w:t>
            </w:r>
          </w:p>
        </w:tc>
        <w:tc>
          <w:tcPr>
            <w:tcW w:w="3119" w:type="dxa"/>
            <w:shd w:val="clear" w:color="auto" w:fill="auto"/>
          </w:tcPr>
          <w:p w14:paraId="204B29E3" w14:textId="77777777" w:rsidR="009B21C4" w:rsidRPr="009C6319" w:rsidRDefault="009B21C4" w:rsidP="005A0800">
            <w:pPr>
              <w:tabs>
                <w:tab w:val="left" w:pos="652"/>
              </w:tabs>
              <w:rPr>
                <w:rFonts w:cs="Arial"/>
                <w:sz w:val="20"/>
                <w:szCs w:val="20"/>
              </w:rPr>
            </w:pPr>
            <w:r w:rsidRPr="009C6319">
              <w:rPr>
                <w:rFonts w:cs="Calibri"/>
              </w:rPr>
              <w:t>Should information be provided to Suppliers on the ABSVD volumes neutralised within their energy accounts at any greater granularity than a Supplier account level? At what level of granularity should this information be provided?</w:t>
            </w:r>
          </w:p>
        </w:tc>
        <w:tc>
          <w:tcPr>
            <w:tcW w:w="1276" w:type="dxa"/>
            <w:shd w:val="clear" w:color="auto" w:fill="auto"/>
          </w:tcPr>
          <w:p w14:paraId="7E92AE52" w14:textId="77777777" w:rsidR="009B21C4" w:rsidRPr="00C85946" w:rsidRDefault="009B21C4" w:rsidP="005A0800">
            <w:pPr>
              <w:jc w:val="center"/>
              <w:rPr>
                <w:rFonts w:cs="Arial"/>
                <w:sz w:val="20"/>
                <w:szCs w:val="20"/>
              </w:rPr>
            </w:pPr>
          </w:p>
        </w:tc>
        <w:tc>
          <w:tcPr>
            <w:tcW w:w="4110" w:type="dxa"/>
            <w:shd w:val="clear" w:color="auto" w:fill="auto"/>
          </w:tcPr>
          <w:p w14:paraId="5C367D38" w14:textId="77777777" w:rsidR="009B21C4" w:rsidRPr="00C85946" w:rsidRDefault="009B21C4" w:rsidP="005A0800">
            <w:pPr>
              <w:jc w:val="center"/>
              <w:rPr>
                <w:rFonts w:cs="Arial"/>
                <w:sz w:val="20"/>
                <w:szCs w:val="20"/>
              </w:rPr>
            </w:pPr>
          </w:p>
        </w:tc>
      </w:tr>
      <w:tr w:rsidR="009B21C4" w:rsidRPr="00C85946" w14:paraId="00608C3B" w14:textId="77777777" w:rsidTr="005A0800">
        <w:trPr>
          <w:cantSplit/>
        </w:trPr>
        <w:tc>
          <w:tcPr>
            <w:tcW w:w="567" w:type="dxa"/>
            <w:shd w:val="clear" w:color="auto" w:fill="auto"/>
            <w:vAlign w:val="center"/>
          </w:tcPr>
          <w:p w14:paraId="7D724358" w14:textId="77777777" w:rsidR="009B21C4" w:rsidRPr="00C85946" w:rsidRDefault="009B21C4" w:rsidP="005A0800">
            <w:pPr>
              <w:jc w:val="center"/>
              <w:rPr>
                <w:rFonts w:cs="Arial"/>
                <w:sz w:val="20"/>
                <w:szCs w:val="20"/>
              </w:rPr>
            </w:pPr>
            <w:r w:rsidRPr="00C85946">
              <w:rPr>
                <w:rFonts w:cs="Arial"/>
                <w:sz w:val="20"/>
                <w:szCs w:val="20"/>
              </w:rPr>
              <w:t>8</w:t>
            </w:r>
          </w:p>
        </w:tc>
        <w:tc>
          <w:tcPr>
            <w:tcW w:w="3119" w:type="dxa"/>
            <w:shd w:val="clear" w:color="auto" w:fill="auto"/>
          </w:tcPr>
          <w:p w14:paraId="238E9410" w14:textId="77777777" w:rsidR="009B21C4" w:rsidRPr="009C6319" w:rsidRDefault="009B21C4" w:rsidP="005A0800">
            <w:pPr>
              <w:textAlignment w:val="center"/>
              <w:rPr>
                <w:rFonts w:cs="Calibri"/>
              </w:rPr>
            </w:pPr>
            <w:r w:rsidRPr="009C6319">
              <w:rPr>
                <w:rFonts w:cs="Calibri"/>
              </w:rPr>
              <w:t>Do you believe there are any competition issues associated with the provision of information to Suppliers of ABSVD volumes associated with their energy accounts? How might this be mitigated?</w:t>
            </w:r>
          </w:p>
        </w:tc>
        <w:tc>
          <w:tcPr>
            <w:tcW w:w="1276" w:type="dxa"/>
            <w:shd w:val="clear" w:color="auto" w:fill="auto"/>
          </w:tcPr>
          <w:p w14:paraId="2FD2DE7D" w14:textId="77777777" w:rsidR="009B21C4" w:rsidRPr="00C85946" w:rsidRDefault="009B21C4" w:rsidP="005A0800">
            <w:pPr>
              <w:jc w:val="center"/>
              <w:rPr>
                <w:rFonts w:cs="Arial"/>
                <w:sz w:val="20"/>
                <w:szCs w:val="20"/>
              </w:rPr>
            </w:pPr>
          </w:p>
        </w:tc>
        <w:tc>
          <w:tcPr>
            <w:tcW w:w="4110" w:type="dxa"/>
            <w:shd w:val="clear" w:color="auto" w:fill="auto"/>
          </w:tcPr>
          <w:p w14:paraId="47AE2F7C" w14:textId="77777777" w:rsidR="009B21C4" w:rsidRPr="00C85946" w:rsidRDefault="009B21C4" w:rsidP="005A0800">
            <w:pPr>
              <w:jc w:val="center"/>
              <w:rPr>
                <w:rFonts w:cs="Arial"/>
                <w:sz w:val="20"/>
                <w:szCs w:val="20"/>
              </w:rPr>
            </w:pPr>
          </w:p>
        </w:tc>
      </w:tr>
      <w:tr w:rsidR="009B21C4" w:rsidRPr="00C85946" w14:paraId="21BF81C0" w14:textId="77777777" w:rsidTr="005A0800">
        <w:trPr>
          <w:cantSplit/>
        </w:trPr>
        <w:tc>
          <w:tcPr>
            <w:tcW w:w="567" w:type="dxa"/>
            <w:shd w:val="clear" w:color="auto" w:fill="auto"/>
            <w:vAlign w:val="center"/>
          </w:tcPr>
          <w:p w14:paraId="12F0614B" w14:textId="77777777" w:rsidR="009B21C4" w:rsidRPr="00C85946" w:rsidRDefault="009B21C4" w:rsidP="005A0800">
            <w:pPr>
              <w:jc w:val="center"/>
              <w:rPr>
                <w:rFonts w:cs="Arial"/>
                <w:sz w:val="20"/>
                <w:szCs w:val="20"/>
              </w:rPr>
            </w:pPr>
            <w:r w:rsidRPr="00C85946">
              <w:rPr>
                <w:rFonts w:cs="Arial"/>
                <w:sz w:val="20"/>
                <w:szCs w:val="20"/>
              </w:rPr>
              <w:t>9</w:t>
            </w:r>
          </w:p>
        </w:tc>
        <w:tc>
          <w:tcPr>
            <w:tcW w:w="3119" w:type="dxa"/>
            <w:shd w:val="clear" w:color="auto" w:fill="auto"/>
          </w:tcPr>
          <w:p w14:paraId="2AD13405" w14:textId="77777777" w:rsidR="009B21C4" w:rsidRPr="009C6319" w:rsidRDefault="009B21C4" w:rsidP="005A0800">
            <w:pPr>
              <w:textAlignment w:val="center"/>
              <w:rPr>
                <w:rFonts w:cs="Calibri"/>
              </w:rPr>
            </w:pPr>
            <w:r w:rsidRPr="009C6319">
              <w:rPr>
                <w:rFonts w:cs="Calibri"/>
              </w:rPr>
              <w:t>What system changes would be required for Balancing Services providers to be able to pass this data to the System Operator? What is the approximate cost impact of this for your business?</w:t>
            </w:r>
          </w:p>
        </w:tc>
        <w:tc>
          <w:tcPr>
            <w:tcW w:w="1276" w:type="dxa"/>
            <w:shd w:val="clear" w:color="auto" w:fill="auto"/>
          </w:tcPr>
          <w:p w14:paraId="36C56762" w14:textId="77777777" w:rsidR="009B21C4" w:rsidRPr="00C85946" w:rsidRDefault="009B21C4" w:rsidP="005A0800">
            <w:pPr>
              <w:jc w:val="center"/>
              <w:rPr>
                <w:rFonts w:cs="Arial"/>
                <w:sz w:val="20"/>
                <w:szCs w:val="20"/>
              </w:rPr>
            </w:pPr>
          </w:p>
        </w:tc>
        <w:tc>
          <w:tcPr>
            <w:tcW w:w="4110" w:type="dxa"/>
            <w:shd w:val="clear" w:color="auto" w:fill="auto"/>
          </w:tcPr>
          <w:p w14:paraId="4E1BF62A" w14:textId="77777777" w:rsidR="009B21C4" w:rsidRPr="00C85946" w:rsidRDefault="009B21C4" w:rsidP="005A0800">
            <w:pPr>
              <w:jc w:val="center"/>
              <w:rPr>
                <w:rFonts w:cs="Arial"/>
                <w:sz w:val="20"/>
                <w:szCs w:val="20"/>
              </w:rPr>
            </w:pPr>
          </w:p>
        </w:tc>
      </w:tr>
      <w:tr w:rsidR="009B21C4" w:rsidRPr="00C85946" w14:paraId="1CBBFAD6" w14:textId="77777777" w:rsidTr="005A0800">
        <w:trPr>
          <w:cantSplit/>
        </w:trPr>
        <w:tc>
          <w:tcPr>
            <w:tcW w:w="567" w:type="dxa"/>
            <w:shd w:val="clear" w:color="auto" w:fill="auto"/>
            <w:vAlign w:val="center"/>
          </w:tcPr>
          <w:p w14:paraId="4AE16A15" w14:textId="77777777" w:rsidR="009B21C4" w:rsidRPr="00C85946" w:rsidRDefault="009B21C4" w:rsidP="005A0800">
            <w:pPr>
              <w:jc w:val="center"/>
              <w:rPr>
                <w:rFonts w:cs="Arial"/>
                <w:sz w:val="20"/>
                <w:szCs w:val="20"/>
              </w:rPr>
            </w:pPr>
            <w:r w:rsidRPr="00C85946">
              <w:rPr>
                <w:rFonts w:cs="Arial"/>
                <w:sz w:val="20"/>
                <w:szCs w:val="20"/>
              </w:rPr>
              <w:t>10</w:t>
            </w:r>
          </w:p>
        </w:tc>
        <w:tc>
          <w:tcPr>
            <w:tcW w:w="3119" w:type="dxa"/>
            <w:shd w:val="clear" w:color="auto" w:fill="auto"/>
          </w:tcPr>
          <w:p w14:paraId="44AF7E79" w14:textId="77777777" w:rsidR="009B21C4" w:rsidRPr="009C6319" w:rsidRDefault="009B21C4" w:rsidP="005A0800">
            <w:pPr>
              <w:rPr>
                <w:rFonts w:cs="Arial"/>
                <w:sz w:val="20"/>
                <w:szCs w:val="20"/>
              </w:rPr>
            </w:pPr>
            <w:r w:rsidRPr="009C6319">
              <w:rPr>
                <w:rFonts w:cs="Calibri"/>
              </w:rPr>
              <w:t>Of the April 2019 and April 2020 implementation dates, which do you believe is more appropriate?</w:t>
            </w:r>
          </w:p>
        </w:tc>
        <w:tc>
          <w:tcPr>
            <w:tcW w:w="1276" w:type="dxa"/>
            <w:shd w:val="clear" w:color="auto" w:fill="auto"/>
          </w:tcPr>
          <w:p w14:paraId="1B93AF71" w14:textId="77777777" w:rsidR="009B21C4" w:rsidRPr="00C85946" w:rsidRDefault="009B21C4" w:rsidP="005A0800">
            <w:pPr>
              <w:jc w:val="center"/>
              <w:rPr>
                <w:rFonts w:cs="Arial"/>
                <w:sz w:val="20"/>
                <w:szCs w:val="20"/>
              </w:rPr>
            </w:pPr>
          </w:p>
        </w:tc>
        <w:tc>
          <w:tcPr>
            <w:tcW w:w="4110" w:type="dxa"/>
            <w:shd w:val="clear" w:color="auto" w:fill="auto"/>
          </w:tcPr>
          <w:p w14:paraId="0BBE4078" w14:textId="77777777" w:rsidR="009B21C4" w:rsidRPr="00C85946" w:rsidRDefault="009B21C4" w:rsidP="005A0800">
            <w:pPr>
              <w:jc w:val="center"/>
              <w:rPr>
                <w:rFonts w:cs="Arial"/>
                <w:sz w:val="20"/>
                <w:szCs w:val="20"/>
              </w:rPr>
            </w:pPr>
          </w:p>
        </w:tc>
      </w:tr>
      <w:tr w:rsidR="009B21C4" w:rsidRPr="00C85946" w14:paraId="71DF68D9" w14:textId="77777777" w:rsidTr="005A0800">
        <w:trPr>
          <w:cantSplit/>
        </w:trPr>
        <w:tc>
          <w:tcPr>
            <w:tcW w:w="567" w:type="dxa"/>
            <w:shd w:val="clear" w:color="auto" w:fill="auto"/>
            <w:vAlign w:val="center"/>
          </w:tcPr>
          <w:p w14:paraId="7292A2E7" w14:textId="77777777" w:rsidR="009B21C4" w:rsidRPr="00C85946" w:rsidRDefault="009B21C4" w:rsidP="005A0800">
            <w:pPr>
              <w:jc w:val="center"/>
              <w:rPr>
                <w:rFonts w:cs="Arial"/>
                <w:sz w:val="20"/>
                <w:szCs w:val="20"/>
              </w:rPr>
            </w:pPr>
            <w:r>
              <w:rPr>
                <w:rFonts w:cs="Arial"/>
                <w:sz w:val="20"/>
                <w:szCs w:val="20"/>
              </w:rPr>
              <w:t>11</w:t>
            </w:r>
          </w:p>
        </w:tc>
        <w:tc>
          <w:tcPr>
            <w:tcW w:w="3119" w:type="dxa"/>
            <w:shd w:val="clear" w:color="auto" w:fill="auto"/>
          </w:tcPr>
          <w:p w14:paraId="7E807CD6" w14:textId="77777777" w:rsidR="009B21C4" w:rsidRPr="009C6319" w:rsidRDefault="009B21C4" w:rsidP="005A0800">
            <w:pPr>
              <w:rPr>
                <w:rFonts w:cs="Arial"/>
                <w:sz w:val="20"/>
                <w:szCs w:val="20"/>
              </w:rPr>
            </w:pPr>
            <w:r w:rsidRPr="009C6319">
              <w:rPr>
                <w:rFonts w:cs="Calibri"/>
              </w:rPr>
              <w:t>Do you agree with the proposed changes to the ABSVD methodology?</w:t>
            </w:r>
          </w:p>
        </w:tc>
        <w:tc>
          <w:tcPr>
            <w:tcW w:w="1276" w:type="dxa"/>
            <w:shd w:val="clear" w:color="auto" w:fill="auto"/>
          </w:tcPr>
          <w:p w14:paraId="224226CA" w14:textId="77777777" w:rsidR="009B21C4" w:rsidRPr="00C85946" w:rsidRDefault="009B21C4" w:rsidP="005A0800">
            <w:pPr>
              <w:jc w:val="center"/>
              <w:rPr>
                <w:rFonts w:cs="Arial"/>
                <w:sz w:val="20"/>
                <w:szCs w:val="20"/>
              </w:rPr>
            </w:pPr>
          </w:p>
        </w:tc>
        <w:tc>
          <w:tcPr>
            <w:tcW w:w="4110" w:type="dxa"/>
            <w:shd w:val="clear" w:color="auto" w:fill="auto"/>
          </w:tcPr>
          <w:p w14:paraId="5ED6CF66" w14:textId="77777777" w:rsidR="009B21C4" w:rsidRPr="00C85946" w:rsidRDefault="009B21C4" w:rsidP="005A0800">
            <w:pPr>
              <w:jc w:val="center"/>
              <w:rPr>
                <w:rFonts w:cs="Arial"/>
                <w:sz w:val="20"/>
                <w:szCs w:val="20"/>
              </w:rPr>
            </w:pPr>
          </w:p>
        </w:tc>
      </w:tr>
      <w:tr w:rsidR="009B21C4" w:rsidRPr="00C85946" w14:paraId="6335158A" w14:textId="77777777" w:rsidTr="005A0800">
        <w:trPr>
          <w:cantSplit/>
        </w:trPr>
        <w:tc>
          <w:tcPr>
            <w:tcW w:w="567" w:type="dxa"/>
            <w:shd w:val="clear" w:color="auto" w:fill="auto"/>
            <w:vAlign w:val="center"/>
          </w:tcPr>
          <w:p w14:paraId="22C64325" w14:textId="77777777" w:rsidR="009B21C4" w:rsidRPr="00C85946" w:rsidRDefault="009B21C4" w:rsidP="005A0800">
            <w:pPr>
              <w:jc w:val="center"/>
              <w:rPr>
                <w:rFonts w:cs="Arial"/>
                <w:sz w:val="20"/>
                <w:szCs w:val="20"/>
              </w:rPr>
            </w:pPr>
            <w:r>
              <w:rPr>
                <w:rFonts w:cs="Arial"/>
                <w:sz w:val="20"/>
                <w:szCs w:val="20"/>
              </w:rPr>
              <w:t>12</w:t>
            </w:r>
          </w:p>
        </w:tc>
        <w:tc>
          <w:tcPr>
            <w:tcW w:w="3119" w:type="dxa"/>
            <w:shd w:val="clear" w:color="auto" w:fill="auto"/>
          </w:tcPr>
          <w:p w14:paraId="2B0AB517" w14:textId="77777777" w:rsidR="009B21C4" w:rsidRPr="009C6319" w:rsidRDefault="009B21C4" w:rsidP="005A0800">
            <w:pPr>
              <w:rPr>
                <w:rFonts w:cs="Arial"/>
                <w:sz w:val="20"/>
                <w:szCs w:val="20"/>
              </w:rPr>
            </w:pPr>
            <w:r w:rsidRPr="009C6319">
              <w:rPr>
                <w:rFonts w:cs="Calibri"/>
              </w:rPr>
              <w:t>Do you have any other comments?</w:t>
            </w:r>
          </w:p>
        </w:tc>
        <w:tc>
          <w:tcPr>
            <w:tcW w:w="1276" w:type="dxa"/>
            <w:shd w:val="clear" w:color="auto" w:fill="auto"/>
          </w:tcPr>
          <w:p w14:paraId="54D1F43E" w14:textId="77777777" w:rsidR="009B21C4" w:rsidRPr="00C85946" w:rsidRDefault="009B21C4" w:rsidP="005A0800">
            <w:pPr>
              <w:jc w:val="center"/>
              <w:rPr>
                <w:rFonts w:cs="Arial"/>
                <w:sz w:val="20"/>
                <w:szCs w:val="20"/>
              </w:rPr>
            </w:pPr>
          </w:p>
        </w:tc>
        <w:tc>
          <w:tcPr>
            <w:tcW w:w="4110" w:type="dxa"/>
            <w:shd w:val="clear" w:color="auto" w:fill="auto"/>
          </w:tcPr>
          <w:p w14:paraId="1593D3E8" w14:textId="77777777" w:rsidR="009B21C4" w:rsidRPr="00C85946" w:rsidRDefault="009B21C4" w:rsidP="005A0800">
            <w:pPr>
              <w:jc w:val="center"/>
              <w:rPr>
                <w:rFonts w:cs="Arial"/>
                <w:sz w:val="20"/>
                <w:szCs w:val="20"/>
              </w:rPr>
            </w:pPr>
          </w:p>
        </w:tc>
      </w:tr>
    </w:tbl>
    <w:p w14:paraId="06883A0F" w14:textId="77777777" w:rsidR="009B21C4" w:rsidRPr="004032C0" w:rsidRDefault="009B21C4" w:rsidP="009B21C4">
      <w:pPr>
        <w:textAlignment w:val="center"/>
        <w:rPr>
          <w:rFonts w:cs="Calibri"/>
          <w:b/>
        </w:rPr>
      </w:pPr>
      <w:r w:rsidRPr="004032C0">
        <w:rPr>
          <w:rFonts w:cs="Calibri"/>
          <w:b/>
        </w:rPr>
        <w:t> </w:t>
      </w:r>
    </w:p>
    <w:p w14:paraId="33280CA5" w14:textId="77777777" w:rsidR="009B21C4" w:rsidRPr="005A0800" w:rsidRDefault="009B21C4" w:rsidP="009B21C4">
      <w:pPr>
        <w:pStyle w:val="Default"/>
        <w:widowControl/>
        <w:jc w:val="both"/>
        <w:rPr>
          <w:color w:val="auto"/>
          <w:sz w:val="22"/>
          <w:szCs w:val="22"/>
          <w:highlight w:val="yellow"/>
        </w:rPr>
      </w:pPr>
    </w:p>
    <w:p w14:paraId="2279DC73" w14:textId="77777777" w:rsidR="00FB2572" w:rsidRDefault="00FB2572"/>
    <w:sectPr w:rsidR="00FB2572" w:rsidSect="00D357C5">
      <w:pgSz w:w="11905" w:h="16837" w:code="9"/>
      <w:pgMar w:top="816" w:right="1440" w:bottom="1259" w:left="1440" w:header="448" w:footer="4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137C1"/>
    <w:multiLevelType w:val="multilevel"/>
    <w:tmpl w:val="14C8A91A"/>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b w:val="0"/>
        <w:i w:val="0"/>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bullet"/>
      <w:pStyle w:val="Heading7"/>
      <w:lvlText w:val="○"/>
      <w:lvlJc w:val="left"/>
      <w:pPr>
        <w:tabs>
          <w:tab w:val="num" w:pos="1296"/>
        </w:tabs>
        <w:ind w:left="1296" w:hanging="1296"/>
      </w:pPr>
      <w:rPr>
        <w:rFonts w:ascii="Courier New" w:hAnsi="Courier New" w:hint="default"/>
        <w:color w:val="auto"/>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1C4"/>
    <w:rsid w:val="00121352"/>
    <w:rsid w:val="007F3FB0"/>
    <w:rsid w:val="009B21C4"/>
    <w:rsid w:val="00FB2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25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1C4"/>
    <w:pPr>
      <w:spacing w:after="0" w:line="240" w:lineRule="auto"/>
    </w:pPr>
    <w:rPr>
      <w:rFonts w:ascii="Arial" w:eastAsia="Times New Roman" w:hAnsi="Arial" w:cs="Times New Roman"/>
      <w:szCs w:val="24"/>
      <w:lang w:eastAsia="en-GB"/>
    </w:rPr>
  </w:style>
  <w:style w:type="paragraph" w:styleId="Heading1">
    <w:name w:val="heading 1"/>
    <w:basedOn w:val="Normal"/>
    <w:next w:val="Normal"/>
    <w:link w:val="Heading1Char"/>
    <w:uiPriority w:val="99"/>
    <w:qFormat/>
    <w:rsid w:val="009B21C4"/>
    <w:pPr>
      <w:pageBreakBefore/>
      <w:numPr>
        <w:numId w:val="1"/>
      </w:numPr>
      <w:pBdr>
        <w:top w:val="single" w:sz="36" w:space="1" w:color="0079C1"/>
        <w:left w:val="single" w:sz="36" w:space="4" w:color="0079C1"/>
        <w:bottom w:val="single" w:sz="36" w:space="1" w:color="0079C1"/>
        <w:right w:val="single" w:sz="36" w:space="4" w:color="0079C1"/>
      </w:pBdr>
      <w:shd w:val="clear" w:color="auto" w:fill="0079C1"/>
      <w:spacing w:after="60"/>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uiPriority w:val="99"/>
    <w:qFormat/>
    <w:rsid w:val="009B21C4"/>
    <w:pPr>
      <w:numPr>
        <w:ilvl w:val="1"/>
        <w:numId w:val="1"/>
      </w:numPr>
      <w:spacing w:before="240" w:after="60"/>
      <w:jc w:val="both"/>
      <w:outlineLvl w:val="1"/>
    </w:pPr>
    <w:rPr>
      <w:rFonts w:cs="Arial"/>
      <w:bCs/>
      <w:iCs/>
      <w:szCs w:val="28"/>
    </w:rPr>
  </w:style>
  <w:style w:type="paragraph" w:styleId="Heading3">
    <w:name w:val="heading 3"/>
    <w:basedOn w:val="Normal"/>
    <w:next w:val="Normal"/>
    <w:link w:val="Heading3Char"/>
    <w:uiPriority w:val="99"/>
    <w:qFormat/>
    <w:rsid w:val="009B21C4"/>
    <w:pPr>
      <w:keepNext/>
      <w:numPr>
        <w:ilvl w:val="2"/>
        <w:numId w:val="1"/>
      </w:numPr>
      <w:spacing w:before="240" w:after="60"/>
      <w:jc w:val="both"/>
      <w:outlineLvl w:val="2"/>
    </w:pPr>
    <w:rPr>
      <w:rFonts w:cs="Arial"/>
      <w:bCs/>
      <w:szCs w:val="26"/>
    </w:rPr>
  </w:style>
  <w:style w:type="paragraph" w:styleId="Heading4">
    <w:name w:val="heading 4"/>
    <w:basedOn w:val="Normal"/>
    <w:next w:val="Normal"/>
    <w:link w:val="Heading4Char"/>
    <w:uiPriority w:val="99"/>
    <w:qFormat/>
    <w:rsid w:val="009B21C4"/>
    <w:pPr>
      <w:keepNext/>
      <w:numPr>
        <w:ilvl w:val="3"/>
        <w:numId w:val="1"/>
      </w:numPr>
      <w:spacing w:before="240" w:after="60"/>
      <w:jc w:val="both"/>
      <w:outlineLvl w:val="3"/>
    </w:pPr>
    <w:rPr>
      <w:bCs/>
      <w:szCs w:val="28"/>
    </w:rPr>
  </w:style>
  <w:style w:type="paragraph" w:styleId="Heading5">
    <w:name w:val="heading 5"/>
    <w:basedOn w:val="Normal"/>
    <w:next w:val="Normal"/>
    <w:link w:val="Heading5Char"/>
    <w:uiPriority w:val="99"/>
    <w:qFormat/>
    <w:rsid w:val="009B21C4"/>
    <w:pPr>
      <w:numPr>
        <w:ilvl w:val="4"/>
        <w:numId w:val="1"/>
      </w:numPr>
      <w:tabs>
        <w:tab w:val="clear" w:pos="567"/>
      </w:tabs>
      <w:spacing w:before="240" w:after="60"/>
      <w:ind w:left="960" w:hanging="393"/>
      <w:jc w:val="both"/>
      <w:outlineLvl w:val="4"/>
    </w:pPr>
    <w:rPr>
      <w:bCs/>
      <w:iCs/>
      <w:szCs w:val="20"/>
    </w:rPr>
  </w:style>
  <w:style w:type="paragraph" w:styleId="Heading6">
    <w:name w:val="heading 6"/>
    <w:basedOn w:val="Normal"/>
    <w:next w:val="Normal"/>
    <w:link w:val="Heading6Char"/>
    <w:uiPriority w:val="99"/>
    <w:qFormat/>
    <w:rsid w:val="009B21C4"/>
    <w:pPr>
      <w:numPr>
        <w:ilvl w:val="5"/>
        <w:numId w:val="1"/>
      </w:numPr>
      <w:tabs>
        <w:tab w:val="clear" w:pos="567"/>
      </w:tabs>
      <w:spacing w:before="120" w:after="120"/>
      <w:ind w:left="960" w:hanging="393"/>
      <w:jc w:val="both"/>
      <w:outlineLvl w:val="5"/>
    </w:pPr>
    <w:rPr>
      <w:bCs/>
      <w:szCs w:val="22"/>
    </w:rPr>
  </w:style>
  <w:style w:type="paragraph" w:styleId="Heading7">
    <w:name w:val="heading 7"/>
    <w:basedOn w:val="Normal"/>
    <w:next w:val="Normal"/>
    <w:link w:val="Heading7Char"/>
    <w:uiPriority w:val="99"/>
    <w:qFormat/>
    <w:rsid w:val="009B21C4"/>
    <w:pPr>
      <w:numPr>
        <w:ilvl w:val="6"/>
        <w:numId w:val="1"/>
      </w:numPr>
      <w:spacing w:before="240" w:after="60"/>
      <w:jc w:val="both"/>
      <w:outlineLvl w:val="6"/>
    </w:pPr>
    <w:rPr>
      <w:rFonts w:cs="Arial"/>
    </w:rPr>
  </w:style>
  <w:style w:type="paragraph" w:styleId="Heading8">
    <w:name w:val="heading 8"/>
    <w:basedOn w:val="Normal"/>
    <w:next w:val="Normal"/>
    <w:link w:val="Heading8Char"/>
    <w:uiPriority w:val="99"/>
    <w:qFormat/>
    <w:rsid w:val="009B21C4"/>
    <w:pPr>
      <w:numPr>
        <w:ilvl w:val="7"/>
        <w:numId w:val="1"/>
      </w:numPr>
      <w:spacing w:before="240" w:after="60"/>
      <w:jc w:val="both"/>
      <w:outlineLvl w:val="7"/>
    </w:pPr>
    <w:rPr>
      <w:rFonts w:ascii="Times New Roman" w:hAnsi="Times New Roman"/>
      <w:i/>
      <w:iCs/>
    </w:rPr>
  </w:style>
  <w:style w:type="paragraph" w:styleId="Heading9">
    <w:name w:val="heading 9"/>
    <w:basedOn w:val="Normal"/>
    <w:next w:val="Normal"/>
    <w:link w:val="Heading9Char"/>
    <w:uiPriority w:val="99"/>
    <w:qFormat/>
    <w:rsid w:val="009B21C4"/>
    <w:pPr>
      <w:numPr>
        <w:ilvl w:val="8"/>
        <w:numId w:val="1"/>
      </w:numPr>
      <w:spacing w:before="240" w:after="60"/>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B21C4"/>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uiPriority w:val="99"/>
    <w:rsid w:val="009B21C4"/>
    <w:rPr>
      <w:rFonts w:ascii="Arial" w:eastAsia="Times New Roman" w:hAnsi="Arial" w:cs="Arial"/>
      <w:bCs/>
      <w:iCs/>
      <w:szCs w:val="28"/>
      <w:lang w:eastAsia="en-GB"/>
    </w:rPr>
  </w:style>
  <w:style w:type="character" w:customStyle="1" w:styleId="Heading3Char">
    <w:name w:val="Heading 3 Char"/>
    <w:basedOn w:val="DefaultParagraphFont"/>
    <w:link w:val="Heading3"/>
    <w:uiPriority w:val="99"/>
    <w:rsid w:val="009B21C4"/>
    <w:rPr>
      <w:rFonts w:ascii="Arial" w:eastAsia="Times New Roman" w:hAnsi="Arial" w:cs="Arial"/>
      <w:bCs/>
      <w:szCs w:val="26"/>
      <w:lang w:eastAsia="en-GB"/>
    </w:rPr>
  </w:style>
  <w:style w:type="character" w:customStyle="1" w:styleId="Heading4Char">
    <w:name w:val="Heading 4 Char"/>
    <w:basedOn w:val="DefaultParagraphFont"/>
    <w:link w:val="Heading4"/>
    <w:uiPriority w:val="99"/>
    <w:rsid w:val="009B21C4"/>
    <w:rPr>
      <w:rFonts w:ascii="Arial" w:eastAsia="Times New Roman" w:hAnsi="Arial" w:cs="Times New Roman"/>
      <w:bCs/>
      <w:szCs w:val="28"/>
      <w:lang w:eastAsia="en-GB"/>
    </w:rPr>
  </w:style>
  <w:style w:type="character" w:customStyle="1" w:styleId="Heading5Char">
    <w:name w:val="Heading 5 Char"/>
    <w:basedOn w:val="DefaultParagraphFont"/>
    <w:link w:val="Heading5"/>
    <w:uiPriority w:val="99"/>
    <w:rsid w:val="009B21C4"/>
    <w:rPr>
      <w:rFonts w:ascii="Arial" w:eastAsia="Times New Roman" w:hAnsi="Arial" w:cs="Times New Roman"/>
      <w:bCs/>
      <w:iCs/>
      <w:szCs w:val="20"/>
      <w:lang w:eastAsia="en-GB"/>
    </w:rPr>
  </w:style>
  <w:style w:type="character" w:customStyle="1" w:styleId="Heading6Char">
    <w:name w:val="Heading 6 Char"/>
    <w:basedOn w:val="DefaultParagraphFont"/>
    <w:link w:val="Heading6"/>
    <w:uiPriority w:val="99"/>
    <w:rsid w:val="009B21C4"/>
    <w:rPr>
      <w:rFonts w:ascii="Arial" w:eastAsia="Times New Roman" w:hAnsi="Arial" w:cs="Times New Roman"/>
      <w:bCs/>
      <w:lang w:eastAsia="en-GB"/>
    </w:rPr>
  </w:style>
  <w:style w:type="character" w:customStyle="1" w:styleId="Heading7Char">
    <w:name w:val="Heading 7 Char"/>
    <w:basedOn w:val="DefaultParagraphFont"/>
    <w:link w:val="Heading7"/>
    <w:uiPriority w:val="99"/>
    <w:rsid w:val="009B21C4"/>
    <w:rPr>
      <w:rFonts w:ascii="Arial" w:eastAsia="Times New Roman" w:hAnsi="Arial" w:cs="Arial"/>
      <w:szCs w:val="24"/>
      <w:lang w:eastAsia="en-GB"/>
    </w:rPr>
  </w:style>
  <w:style w:type="character" w:customStyle="1" w:styleId="Heading8Char">
    <w:name w:val="Heading 8 Char"/>
    <w:basedOn w:val="DefaultParagraphFont"/>
    <w:link w:val="Heading8"/>
    <w:uiPriority w:val="99"/>
    <w:rsid w:val="009B21C4"/>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uiPriority w:val="99"/>
    <w:rsid w:val="009B21C4"/>
    <w:rPr>
      <w:rFonts w:ascii="Arial" w:eastAsia="Times New Roman" w:hAnsi="Arial" w:cs="Arial"/>
      <w:lang w:eastAsia="en-GB"/>
    </w:rPr>
  </w:style>
  <w:style w:type="character" w:styleId="Hyperlink">
    <w:name w:val="Hyperlink"/>
    <w:uiPriority w:val="99"/>
    <w:rsid w:val="009B21C4"/>
    <w:rPr>
      <w:color w:val="0000FF"/>
      <w:u w:val="single"/>
    </w:rPr>
  </w:style>
  <w:style w:type="paragraph" w:customStyle="1" w:styleId="Default">
    <w:name w:val="Default"/>
    <w:rsid w:val="009B21C4"/>
    <w:pPr>
      <w:widowControl w:val="0"/>
      <w:autoSpaceDE w:val="0"/>
      <w:autoSpaceDN w:val="0"/>
      <w:adjustRightInd w:val="0"/>
      <w:spacing w:after="0" w:line="240" w:lineRule="auto"/>
    </w:pPr>
    <w:rPr>
      <w:rFonts w:ascii="Helvetica" w:eastAsia="Times New Roman" w:hAnsi="Helvetica" w:cs="Helvetica"/>
      <w:color w:val="000000"/>
      <w:sz w:val="24"/>
      <w:szCs w:val="24"/>
      <w:lang w:eastAsia="en-GB"/>
    </w:rPr>
  </w:style>
  <w:style w:type="paragraph" w:customStyle="1" w:styleId="RowHeading">
    <w:name w:val="Row Heading"/>
    <w:rsid w:val="009B21C4"/>
    <w:pPr>
      <w:spacing w:after="0" w:line="240" w:lineRule="auto"/>
    </w:pPr>
    <w:rPr>
      <w:rFonts w:ascii="Tahoma" w:eastAsia="Times New Roman" w:hAnsi="Tahoma" w:cs="Times New Roman"/>
      <w:b/>
      <w:sz w:val="20"/>
      <w:szCs w:val="24"/>
      <w:lang w:eastAsia="en-GB"/>
    </w:rPr>
  </w:style>
  <w:style w:type="paragraph" w:customStyle="1" w:styleId="ColumnHeading">
    <w:name w:val="Column Heading"/>
    <w:rsid w:val="009B21C4"/>
    <w:pPr>
      <w:keepNext/>
      <w:spacing w:before="113" w:after="113" w:line="240" w:lineRule="auto"/>
    </w:pPr>
    <w:rPr>
      <w:rFonts w:ascii="Tahoma" w:eastAsia="Times New Roman" w:hAnsi="Tahoma" w:cs="Times New Roman"/>
      <w:b/>
      <w:sz w:val="20"/>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1C4"/>
    <w:pPr>
      <w:spacing w:after="0" w:line="240" w:lineRule="auto"/>
    </w:pPr>
    <w:rPr>
      <w:rFonts w:ascii="Arial" w:eastAsia="Times New Roman" w:hAnsi="Arial" w:cs="Times New Roman"/>
      <w:szCs w:val="24"/>
      <w:lang w:eastAsia="en-GB"/>
    </w:rPr>
  </w:style>
  <w:style w:type="paragraph" w:styleId="Heading1">
    <w:name w:val="heading 1"/>
    <w:basedOn w:val="Normal"/>
    <w:next w:val="Normal"/>
    <w:link w:val="Heading1Char"/>
    <w:uiPriority w:val="99"/>
    <w:qFormat/>
    <w:rsid w:val="009B21C4"/>
    <w:pPr>
      <w:pageBreakBefore/>
      <w:numPr>
        <w:numId w:val="1"/>
      </w:numPr>
      <w:pBdr>
        <w:top w:val="single" w:sz="36" w:space="1" w:color="0079C1"/>
        <w:left w:val="single" w:sz="36" w:space="4" w:color="0079C1"/>
        <w:bottom w:val="single" w:sz="36" w:space="1" w:color="0079C1"/>
        <w:right w:val="single" w:sz="36" w:space="4" w:color="0079C1"/>
      </w:pBdr>
      <w:shd w:val="clear" w:color="auto" w:fill="0079C1"/>
      <w:spacing w:after="60"/>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uiPriority w:val="99"/>
    <w:qFormat/>
    <w:rsid w:val="009B21C4"/>
    <w:pPr>
      <w:numPr>
        <w:ilvl w:val="1"/>
        <w:numId w:val="1"/>
      </w:numPr>
      <w:spacing w:before="240" w:after="60"/>
      <w:jc w:val="both"/>
      <w:outlineLvl w:val="1"/>
    </w:pPr>
    <w:rPr>
      <w:rFonts w:cs="Arial"/>
      <w:bCs/>
      <w:iCs/>
      <w:szCs w:val="28"/>
    </w:rPr>
  </w:style>
  <w:style w:type="paragraph" w:styleId="Heading3">
    <w:name w:val="heading 3"/>
    <w:basedOn w:val="Normal"/>
    <w:next w:val="Normal"/>
    <w:link w:val="Heading3Char"/>
    <w:uiPriority w:val="99"/>
    <w:qFormat/>
    <w:rsid w:val="009B21C4"/>
    <w:pPr>
      <w:keepNext/>
      <w:numPr>
        <w:ilvl w:val="2"/>
        <w:numId w:val="1"/>
      </w:numPr>
      <w:spacing w:before="240" w:after="60"/>
      <w:jc w:val="both"/>
      <w:outlineLvl w:val="2"/>
    </w:pPr>
    <w:rPr>
      <w:rFonts w:cs="Arial"/>
      <w:bCs/>
      <w:szCs w:val="26"/>
    </w:rPr>
  </w:style>
  <w:style w:type="paragraph" w:styleId="Heading4">
    <w:name w:val="heading 4"/>
    <w:basedOn w:val="Normal"/>
    <w:next w:val="Normal"/>
    <w:link w:val="Heading4Char"/>
    <w:uiPriority w:val="99"/>
    <w:qFormat/>
    <w:rsid w:val="009B21C4"/>
    <w:pPr>
      <w:keepNext/>
      <w:numPr>
        <w:ilvl w:val="3"/>
        <w:numId w:val="1"/>
      </w:numPr>
      <w:spacing w:before="240" w:after="60"/>
      <w:jc w:val="both"/>
      <w:outlineLvl w:val="3"/>
    </w:pPr>
    <w:rPr>
      <w:bCs/>
      <w:szCs w:val="28"/>
    </w:rPr>
  </w:style>
  <w:style w:type="paragraph" w:styleId="Heading5">
    <w:name w:val="heading 5"/>
    <w:basedOn w:val="Normal"/>
    <w:next w:val="Normal"/>
    <w:link w:val="Heading5Char"/>
    <w:uiPriority w:val="99"/>
    <w:qFormat/>
    <w:rsid w:val="009B21C4"/>
    <w:pPr>
      <w:numPr>
        <w:ilvl w:val="4"/>
        <w:numId w:val="1"/>
      </w:numPr>
      <w:tabs>
        <w:tab w:val="clear" w:pos="567"/>
      </w:tabs>
      <w:spacing w:before="240" w:after="60"/>
      <w:ind w:left="960" w:hanging="393"/>
      <w:jc w:val="both"/>
      <w:outlineLvl w:val="4"/>
    </w:pPr>
    <w:rPr>
      <w:bCs/>
      <w:iCs/>
      <w:szCs w:val="20"/>
    </w:rPr>
  </w:style>
  <w:style w:type="paragraph" w:styleId="Heading6">
    <w:name w:val="heading 6"/>
    <w:basedOn w:val="Normal"/>
    <w:next w:val="Normal"/>
    <w:link w:val="Heading6Char"/>
    <w:uiPriority w:val="99"/>
    <w:qFormat/>
    <w:rsid w:val="009B21C4"/>
    <w:pPr>
      <w:numPr>
        <w:ilvl w:val="5"/>
        <w:numId w:val="1"/>
      </w:numPr>
      <w:tabs>
        <w:tab w:val="clear" w:pos="567"/>
      </w:tabs>
      <w:spacing w:before="120" w:after="120"/>
      <w:ind w:left="960" w:hanging="393"/>
      <w:jc w:val="both"/>
      <w:outlineLvl w:val="5"/>
    </w:pPr>
    <w:rPr>
      <w:bCs/>
      <w:szCs w:val="22"/>
    </w:rPr>
  </w:style>
  <w:style w:type="paragraph" w:styleId="Heading7">
    <w:name w:val="heading 7"/>
    <w:basedOn w:val="Normal"/>
    <w:next w:val="Normal"/>
    <w:link w:val="Heading7Char"/>
    <w:uiPriority w:val="99"/>
    <w:qFormat/>
    <w:rsid w:val="009B21C4"/>
    <w:pPr>
      <w:numPr>
        <w:ilvl w:val="6"/>
        <w:numId w:val="1"/>
      </w:numPr>
      <w:spacing w:before="240" w:after="60"/>
      <w:jc w:val="both"/>
      <w:outlineLvl w:val="6"/>
    </w:pPr>
    <w:rPr>
      <w:rFonts w:cs="Arial"/>
    </w:rPr>
  </w:style>
  <w:style w:type="paragraph" w:styleId="Heading8">
    <w:name w:val="heading 8"/>
    <w:basedOn w:val="Normal"/>
    <w:next w:val="Normal"/>
    <w:link w:val="Heading8Char"/>
    <w:uiPriority w:val="99"/>
    <w:qFormat/>
    <w:rsid w:val="009B21C4"/>
    <w:pPr>
      <w:numPr>
        <w:ilvl w:val="7"/>
        <w:numId w:val="1"/>
      </w:numPr>
      <w:spacing w:before="240" w:after="60"/>
      <w:jc w:val="both"/>
      <w:outlineLvl w:val="7"/>
    </w:pPr>
    <w:rPr>
      <w:rFonts w:ascii="Times New Roman" w:hAnsi="Times New Roman"/>
      <w:i/>
      <w:iCs/>
    </w:rPr>
  </w:style>
  <w:style w:type="paragraph" w:styleId="Heading9">
    <w:name w:val="heading 9"/>
    <w:basedOn w:val="Normal"/>
    <w:next w:val="Normal"/>
    <w:link w:val="Heading9Char"/>
    <w:uiPriority w:val="99"/>
    <w:qFormat/>
    <w:rsid w:val="009B21C4"/>
    <w:pPr>
      <w:numPr>
        <w:ilvl w:val="8"/>
        <w:numId w:val="1"/>
      </w:numPr>
      <w:spacing w:before="240" w:after="60"/>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B21C4"/>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uiPriority w:val="99"/>
    <w:rsid w:val="009B21C4"/>
    <w:rPr>
      <w:rFonts w:ascii="Arial" w:eastAsia="Times New Roman" w:hAnsi="Arial" w:cs="Arial"/>
      <w:bCs/>
      <w:iCs/>
      <w:szCs w:val="28"/>
      <w:lang w:eastAsia="en-GB"/>
    </w:rPr>
  </w:style>
  <w:style w:type="character" w:customStyle="1" w:styleId="Heading3Char">
    <w:name w:val="Heading 3 Char"/>
    <w:basedOn w:val="DefaultParagraphFont"/>
    <w:link w:val="Heading3"/>
    <w:uiPriority w:val="99"/>
    <w:rsid w:val="009B21C4"/>
    <w:rPr>
      <w:rFonts w:ascii="Arial" w:eastAsia="Times New Roman" w:hAnsi="Arial" w:cs="Arial"/>
      <w:bCs/>
      <w:szCs w:val="26"/>
      <w:lang w:eastAsia="en-GB"/>
    </w:rPr>
  </w:style>
  <w:style w:type="character" w:customStyle="1" w:styleId="Heading4Char">
    <w:name w:val="Heading 4 Char"/>
    <w:basedOn w:val="DefaultParagraphFont"/>
    <w:link w:val="Heading4"/>
    <w:uiPriority w:val="99"/>
    <w:rsid w:val="009B21C4"/>
    <w:rPr>
      <w:rFonts w:ascii="Arial" w:eastAsia="Times New Roman" w:hAnsi="Arial" w:cs="Times New Roman"/>
      <w:bCs/>
      <w:szCs w:val="28"/>
      <w:lang w:eastAsia="en-GB"/>
    </w:rPr>
  </w:style>
  <w:style w:type="character" w:customStyle="1" w:styleId="Heading5Char">
    <w:name w:val="Heading 5 Char"/>
    <w:basedOn w:val="DefaultParagraphFont"/>
    <w:link w:val="Heading5"/>
    <w:uiPriority w:val="99"/>
    <w:rsid w:val="009B21C4"/>
    <w:rPr>
      <w:rFonts w:ascii="Arial" w:eastAsia="Times New Roman" w:hAnsi="Arial" w:cs="Times New Roman"/>
      <w:bCs/>
      <w:iCs/>
      <w:szCs w:val="20"/>
      <w:lang w:eastAsia="en-GB"/>
    </w:rPr>
  </w:style>
  <w:style w:type="character" w:customStyle="1" w:styleId="Heading6Char">
    <w:name w:val="Heading 6 Char"/>
    <w:basedOn w:val="DefaultParagraphFont"/>
    <w:link w:val="Heading6"/>
    <w:uiPriority w:val="99"/>
    <w:rsid w:val="009B21C4"/>
    <w:rPr>
      <w:rFonts w:ascii="Arial" w:eastAsia="Times New Roman" w:hAnsi="Arial" w:cs="Times New Roman"/>
      <w:bCs/>
      <w:lang w:eastAsia="en-GB"/>
    </w:rPr>
  </w:style>
  <w:style w:type="character" w:customStyle="1" w:styleId="Heading7Char">
    <w:name w:val="Heading 7 Char"/>
    <w:basedOn w:val="DefaultParagraphFont"/>
    <w:link w:val="Heading7"/>
    <w:uiPriority w:val="99"/>
    <w:rsid w:val="009B21C4"/>
    <w:rPr>
      <w:rFonts w:ascii="Arial" w:eastAsia="Times New Roman" w:hAnsi="Arial" w:cs="Arial"/>
      <w:szCs w:val="24"/>
      <w:lang w:eastAsia="en-GB"/>
    </w:rPr>
  </w:style>
  <w:style w:type="character" w:customStyle="1" w:styleId="Heading8Char">
    <w:name w:val="Heading 8 Char"/>
    <w:basedOn w:val="DefaultParagraphFont"/>
    <w:link w:val="Heading8"/>
    <w:uiPriority w:val="99"/>
    <w:rsid w:val="009B21C4"/>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uiPriority w:val="99"/>
    <w:rsid w:val="009B21C4"/>
    <w:rPr>
      <w:rFonts w:ascii="Arial" w:eastAsia="Times New Roman" w:hAnsi="Arial" w:cs="Arial"/>
      <w:lang w:eastAsia="en-GB"/>
    </w:rPr>
  </w:style>
  <w:style w:type="character" w:styleId="Hyperlink">
    <w:name w:val="Hyperlink"/>
    <w:uiPriority w:val="99"/>
    <w:rsid w:val="009B21C4"/>
    <w:rPr>
      <w:color w:val="0000FF"/>
      <w:u w:val="single"/>
    </w:rPr>
  </w:style>
  <w:style w:type="paragraph" w:customStyle="1" w:styleId="Default">
    <w:name w:val="Default"/>
    <w:rsid w:val="009B21C4"/>
    <w:pPr>
      <w:widowControl w:val="0"/>
      <w:autoSpaceDE w:val="0"/>
      <w:autoSpaceDN w:val="0"/>
      <w:adjustRightInd w:val="0"/>
      <w:spacing w:after="0" w:line="240" w:lineRule="auto"/>
    </w:pPr>
    <w:rPr>
      <w:rFonts w:ascii="Helvetica" w:eastAsia="Times New Roman" w:hAnsi="Helvetica" w:cs="Helvetica"/>
      <w:color w:val="000000"/>
      <w:sz w:val="24"/>
      <w:szCs w:val="24"/>
      <w:lang w:eastAsia="en-GB"/>
    </w:rPr>
  </w:style>
  <w:style w:type="paragraph" w:customStyle="1" w:styleId="RowHeading">
    <w:name w:val="Row Heading"/>
    <w:rsid w:val="009B21C4"/>
    <w:pPr>
      <w:spacing w:after="0" w:line="240" w:lineRule="auto"/>
    </w:pPr>
    <w:rPr>
      <w:rFonts w:ascii="Tahoma" w:eastAsia="Times New Roman" w:hAnsi="Tahoma" w:cs="Times New Roman"/>
      <w:b/>
      <w:sz w:val="20"/>
      <w:szCs w:val="24"/>
      <w:lang w:eastAsia="en-GB"/>
    </w:rPr>
  </w:style>
  <w:style w:type="paragraph" w:customStyle="1" w:styleId="ColumnHeading">
    <w:name w:val="Column Heading"/>
    <w:rsid w:val="009B21C4"/>
    <w:pPr>
      <w:keepNext/>
      <w:spacing w:before="113" w:after="113" w:line="240" w:lineRule="auto"/>
    </w:pPr>
    <w:rPr>
      <w:rFonts w:ascii="Tahoma" w:eastAsia="Times New Roman" w:hAnsi="Tahoma" w:cs="Times New Roman"/>
      <w:b/>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alancingservices@nationalgri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EC1769CE4C134597CB32C6984FE027" ma:contentTypeVersion="0" ma:contentTypeDescription="Create a new document." ma:contentTypeScope="" ma:versionID="ded785ba5ddccdde6ea49e9382f108d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979D6E-0B48-478F-A23D-F30596512018}">
  <ds:schemaRefs>
    <ds:schemaRef ds:uri="http://purl.org/dc/dcmitype/"/>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710E805-FC7A-40A1-8A7F-5F295A646D91}">
  <ds:schemaRefs>
    <ds:schemaRef ds:uri="http://schemas.microsoft.com/sharepoint/v3/contenttype/forms"/>
  </ds:schemaRefs>
</ds:datastoreItem>
</file>

<file path=customXml/itemProps3.xml><?xml version="1.0" encoding="utf-8"?>
<ds:datastoreItem xmlns:ds="http://schemas.openxmlformats.org/officeDocument/2006/customXml" ds:itemID="{855DC848-6981-4C40-9CD2-EC1A85436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370</Words>
  <Characters>2114</Characters>
  <Application>Microsoft Office Word</Application>
  <DocSecurity>0</DocSecurity>
  <Lines>17</Lines>
  <Paragraphs>4</Paragraphs>
  <ScaleCrop>false</ScaleCrop>
  <Company>National Grid</Company>
  <LinksUpToDate>false</LinksUpToDate>
  <CharactersWithSpaces>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Adelle Wainwright</dc:creator>
  <cp:lastModifiedBy>Adelle Wainwright</cp:lastModifiedBy>
  <cp:revision>2</cp:revision>
  <dcterms:created xsi:type="dcterms:W3CDTF">2017-11-15T15:24:00Z</dcterms:created>
  <dcterms:modified xsi:type="dcterms:W3CDTF">2017-11-15T22:24:00Z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0x01010064EC1769CE4C134597CB32C6984FE027</vt:lpwstr>
  </property>
</Properties>
</file>