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E62A86" w:rsidP="00E62A86">
      <w:pPr>
        <w:pStyle w:val="Heading1"/>
        <w:numPr>
          <w:ilvl w:val="0"/>
          <w:numId w:val="0"/>
        </w:numPr>
      </w:pPr>
      <w:bookmarkStart w:id="0" w:name="_Toc288131448"/>
      <w:r>
        <w:t>CUSC Workgroup Consultation Response Proforma</w:t>
      </w:r>
      <w:bookmarkEnd w:id="0"/>
    </w:p>
    <w:p w:rsidR="00E62A86" w:rsidRDefault="00E62A86" w:rsidP="00E62A86">
      <w:pPr>
        <w:rPr>
          <w:rFonts w:cs="Arial"/>
          <w:b/>
          <w:szCs w:val="22"/>
        </w:rPr>
      </w:pPr>
    </w:p>
    <w:p w:rsidR="00652883" w:rsidRDefault="00976E28" w:rsidP="00976E28">
      <w:pPr>
        <w:rPr>
          <w:rFonts w:cs="Arial"/>
          <w:b/>
          <w:sz w:val="24"/>
        </w:rPr>
      </w:pPr>
      <w:r w:rsidRPr="00976E28">
        <w:rPr>
          <w:rFonts w:cs="Arial"/>
          <w:b/>
          <w:sz w:val="24"/>
        </w:rPr>
        <w:t>CMP266</w:t>
      </w:r>
      <w:r>
        <w:rPr>
          <w:rFonts w:cs="Arial"/>
          <w:b/>
          <w:sz w:val="24"/>
        </w:rPr>
        <w:t xml:space="preserve"> </w:t>
      </w:r>
      <w:r w:rsidRPr="00976E28">
        <w:rPr>
          <w:rFonts w:cs="Arial"/>
          <w:b/>
          <w:sz w:val="24"/>
        </w:rPr>
        <w:t>‘Removal of Demand TNUoS charging as a barrier to future elective Half Hourly settlement’</w:t>
      </w:r>
    </w:p>
    <w:p w:rsidR="00976E28" w:rsidRPr="003F639A" w:rsidRDefault="00976E28" w:rsidP="00976E28">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Pr="00694354">
        <w:rPr>
          <w:rFonts w:cs="Arial"/>
          <w:b/>
          <w:spacing w:val="-3"/>
          <w:szCs w:val="22"/>
        </w:rPr>
        <w:t xml:space="preserve"> </w:t>
      </w:r>
      <w:r w:rsidR="00413FDD">
        <w:rPr>
          <w:rFonts w:cs="Arial"/>
          <w:b/>
          <w:spacing w:val="-3"/>
          <w:szCs w:val="22"/>
        </w:rPr>
        <w:t>28 September 2016</w:t>
      </w:r>
      <w:r w:rsidRPr="00694354">
        <w:rPr>
          <w:rFonts w:cs="Arial"/>
          <w:spacing w:val="-3"/>
          <w:szCs w:val="22"/>
        </w:rPr>
        <w:t xml:space="preserve"> to </w:t>
      </w:r>
      <w:hyperlink r:id="rId9" w:history="1">
        <w:r w:rsidR="001E6AE5" w:rsidRPr="00703876">
          <w:rPr>
            <w:rStyle w:val="Hyperlink"/>
            <w:rFonts w:cs="Arial"/>
            <w:spacing w:val="-3"/>
            <w:szCs w:val="22"/>
          </w:rPr>
          <w:t>cusc.team@nationalgrid.com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C15869" w:rsidRDefault="00E62A86" w:rsidP="00E62A86">
      <w:pPr>
        <w:rPr>
          <w:rFonts w:cs="Arial"/>
          <w:szCs w:val="22"/>
        </w:rPr>
      </w:pPr>
      <w:r w:rsidRPr="00651F79">
        <w:rPr>
          <w:rFonts w:cs="Arial"/>
          <w:szCs w:val="22"/>
        </w:rPr>
        <w:t xml:space="preserve">Any queries on the content of the consultation should be addressed to </w:t>
      </w:r>
      <w:r w:rsidR="00652883">
        <w:rPr>
          <w:rFonts w:cs="Arial"/>
          <w:szCs w:val="22"/>
        </w:rPr>
        <w:t>Heena Chauhan</w:t>
      </w:r>
      <w:r>
        <w:rPr>
          <w:rFonts w:cs="Arial"/>
          <w:szCs w:val="22"/>
        </w:rPr>
        <w:t xml:space="preserve"> at </w:t>
      </w:r>
      <w:hyperlink r:id="rId10" w:history="1">
        <w:r w:rsidR="00652883" w:rsidRPr="008C65B7">
          <w:rPr>
            <w:rStyle w:val="Hyperlink"/>
            <w:rFonts w:cs="Arial"/>
            <w:szCs w:val="22"/>
          </w:rPr>
          <w:t>heena.chauhan@nationalgrid.com</w:t>
        </w:r>
      </w:hyperlink>
    </w:p>
    <w:p w:rsidR="00E62A86" w:rsidRPr="00651F79" w:rsidRDefault="00E62A86"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CUSC </w:t>
      </w:r>
      <w:r>
        <w:rPr>
          <w:rFonts w:cs="Arial"/>
          <w:spacing w:val="-3"/>
          <w:szCs w:val="22"/>
        </w:rPr>
        <w:t xml:space="preserve">Modifications </w:t>
      </w:r>
      <w:r w:rsidRPr="00651F79">
        <w:rPr>
          <w:rFonts w:cs="Arial"/>
          <w:spacing w:val="-3"/>
          <w:szCs w:val="22"/>
        </w:rPr>
        <w:t>Panel.</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132BAC" w:rsidRPr="00132BAC" w:rsidRDefault="00132BAC" w:rsidP="00132BAC">
            <w:pPr>
              <w:pStyle w:val="BodyText"/>
              <w:ind w:left="720"/>
              <w:rPr>
                <w:b/>
              </w:rPr>
            </w:pPr>
            <w:r w:rsidRPr="00132BAC">
              <w:rPr>
                <w:b/>
              </w:rPr>
              <w:t>Use of System Charging Methodology</w:t>
            </w:r>
          </w:p>
          <w:p w:rsidR="009179DF" w:rsidRDefault="00132BAC" w:rsidP="00132BAC">
            <w:pPr>
              <w:pStyle w:val="BodyText"/>
              <w:ind w:left="720"/>
            </w:pPr>
            <w:r w:rsidRPr="009179DF">
              <w:t>(a) that compliance with the use of system charging methodology facilitates effective competition in the generation and supply of electricity and (so far as is consistent therewith) facilitates competition in the sale, distribution and purchase of electricity;</w:t>
            </w:r>
          </w:p>
          <w:p w:rsidR="009179DF" w:rsidRDefault="009179DF" w:rsidP="00132BAC">
            <w:pPr>
              <w:pStyle w:val="BodyText"/>
              <w:ind w:left="720"/>
            </w:pPr>
          </w:p>
          <w:p w:rsidR="00132BAC" w:rsidRDefault="00132BAC" w:rsidP="00132BAC">
            <w:pPr>
              <w:pStyle w:val="BodyText"/>
              <w:ind w:left="720"/>
            </w:pPr>
            <w:r w:rsidRPr="009179DF">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p>
          <w:p w:rsidR="009179DF" w:rsidRPr="009179DF" w:rsidRDefault="009179DF" w:rsidP="00132BAC">
            <w:pPr>
              <w:pStyle w:val="BodyText"/>
              <w:ind w:left="720"/>
            </w:pPr>
          </w:p>
          <w:p w:rsidR="00132BAC" w:rsidRPr="009179DF" w:rsidRDefault="00132BAC" w:rsidP="00132BAC">
            <w:pPr>
              <w:pStyle w:val="BodyText"/>
              <w:ind w:left="720"/>
            </w:pPr>
            <w:r w:rsidRPr="009179DF">
              <w:t xml:space="preserve"> (c)  that, so far as is consistent with sub-paragraphs (a) and (b), the use of system charging methodology, as far as is reasonably practicable, properly takes account of the developments in transmission licensees' transmission </w:t>
            </w:r>
            <w:r w:rsidRPr="009179DF">
              <w:lastRenderedPageBreak/>
              <w:t xml:space="preserve">businesses; </w:t>
            </w:r>
          </w:p>
          <w:p w:rsidR="00132BAC" w:rsidRPr="009179DF" w:rsidRDefault="00132BAC" w:rsidP="00132BAC">
            <w:pPr>
              <w:pStyle w:val="BodyText"/>
              <w:ind w:left="720"/>
            </w:pPr>
          </w:p>
          <w:p w:rsidR="00132BAC" w:rsidRDefault="00132BAC" w:rsidP="00132BAC">
            <w:pPr>
              <w:pStyle w:val="BodyText"/>
              <w:ind w:left="720"/>
            </w:pPr>
            <w:r w:rsidRPr="009179DF">
              <w:t xml:space="preserve">(d) </w:t>
            </w:r>
            <w:proofErr w:type="gramStart"/>
            <w:r w:rsidRPr="009179DF">
              <w:t>compliance</w:t>
            </w:r>
            <w:proofErr w:type="gramEnd"/>
            <w:r w:rsidRPr="009179DF">
              <w:t xml:space="preserve"> with the Electricity Regulation and any relevant legally binding decision of the European Commission and/or the Agency. These are defined within the National Grid Electricity Transmission plc Licence under Standard Condition C10, paragraph 1.).</w:t>
            </w:r>
          </w:p>
          <w:p w:rsidR="009179DF" w:rsidRPr="009179DF" w:rsidRDefault="009179DF" w:rsidP="00132BAC">
            <w:pPr>
              <w:pStyle w:val="BodyText"/>
              <w:ind w:left="720"/>
            </w:pPr>
          </w:p>
          <w:p w:rsidR="00E62A86" w:rsidRPr="009179DF" w:rsidRDefault="00132BAC" w:rsidP="00132BAC">
            <w:pPr>
              <w:pStyle w:val="BodyText"/>
              <w:ind w:left="743"/>
              <w:rPr>
                <w:rFonts w:cs="Arial"/>
                <w:i/>
                <w:szCs w:val="22"/>
              </w:rPr>
            </w:pPr>
            <w:r w:rsidRPr="009179DF">
              <w:rPr>
                <w:i/>
              </w:rPr>
              <w:t>Objective (c) refers specifically to European Regulation 2009/714/EC.  Reference to the Agency is to the Agency for the Cooperation of Energy Regulators (ACER).</w:t>
            </w:r>
          </w:p>
        </w:tc>
      </w:tr>
    </w:tbl>
    <w:p w:rsidR="00E62A86" w:rsidRDefault="00E62A86" w:rsidP="00E62A86"/>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9179DF" w:rsidRDefault="009179DF" w:rsidP="00E62A86">
      <w:pPr>
        <w:rPr>
          <w:b/>
        </w:rPr>
      </w:pPr>
    </w:p>
    <w:p w:rsidR="00E62A86" w:rsidRDefault="007E526A" w:rsidP="00E62A86">
      <w:pPr>
        <w:rPr>
          <w:b/>
        </w:rPr>
      </w:pPr>
      <w:bookmarkStart w:id="1" w:name="_GoBack"/>
      <w:bookmarkEnd w:id="1"/>
      <w:r w:rsidRPr="007E526A">
        <w:rPr>
          <w:b/>
        </w:rPr>
        <w:lastRenderedPageBreak/>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7E526A" w:rsidRPr="007043A3" w:rsidRDefault="00413FDD" w:rsidP="00731A0D">
            <w:pPr>
              <w:rPr>
                <w:rFonts w:cs="Arial"/>
                <w:b/>
                <w:bCs/>
                <w:szCs w:val="22"/>
              </w:rPr>
            </w:pPr>
            <w:r>
              <w:rPr>
                <w:rFonts w:cs="Arial"/>
                <w:b/>
                <w:szCs w:val="22"/>
              </w:rPr>
              <w:t>Do you believe that CMP266</w:t>
            </w:r>
            <w:r w:rsidR="00BF1F85" w:rsidRPr="00BF1F85">
              <w:rPr>
                <w:rFonts w:cs="Arial"/>
                <w:b/>
                <w:szCs w:val="22"/>
              </w:rPr>
              <w:t xml:space="preserve"> Original proposal, or any potential alternatives for change that you wish to suggest, better facilitates the Applicable CUSC Objectives?</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2</w:t>
            </w:r>
          </w:p>
        </w:tc>
        <w:tc>
          <w:tcPr>
            <w:tcW w:w="3057"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Default="007E526A" w:rsidP="00731A0D">
            <w:pPr>
              <w:rPr>
                <w:rFonts w:cs="Arial"/>
                <w:szCs w:val="22"/>
              </w:rPr>
            </w:pPr>
            <w:r>
              <w:rPr>
                <w:rFonts w:cs="Arial"/>
                <w:szCs w:val="22"/>
              </w:rPr>
              <w:t>3</w:t>
            </w:r>
          </w:p>
        </w:tc>
        <w:tc>
          <w:tcPr>
            <w:tcW w:w="3057"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6336" w:type="dxa"/>
          </w:tcPr>
          <w:p w:rsidR="007E526A" w:rsidRPr="00651F79" w:rsidRDefault="007E526A" w:rsidP="00731A0D">
            <w:pPr>
              <w:rPr>
                <w:rFonts w:cs="Arial"/>
                <w:szCs w:val="22"/>
              </w:rPr>
            </w:pPr>
          </w:p>
        </w:tc>
      </w:tr>
      <w:tr w:rsidR="00C15869" w:rsidRPr="00651F79" w:rsidTr="00731A0D">
        <w:trPr>
          <w:cantSplit/>
          <w:trHeight w:val="267"/>
        </w:trPr>
        <w:tc>
          <w:tcPr>
            <w:tcW w:w="567" w:type="dxa"/>
          </w:tcPr>
          <w:p w:rsidR="00C15869" w:rsidRDefault="00C15869" w:rsidP="00731A0D">
            <w:pPr>
              <w:rPr>
                <w:rFonts w:cs="Arial"/>
                <w:szCs w:val="22"/>
              </w:rPr>
            </w:pPr>
            <w:r>
              <w:rPr>
                <w:rFonts w:cs="Arial"/>
                <w:szCs w:val="22"/>
              </w:rPr>
              <w:t>4</w:t>
            </w:r>
          </w:p>
        </w:tc>
        <w:tc>
          <w:tcPr>
            <w:tcW w:w="3057" w:type="dxa"/>
          </w:tcPr>
          <w:p w:rsidR="00C15869" w:rsidRPr="00651F79" w:rsidRDefault="00C15869" w:rsidP="00891EDA">
            <w:pPr>
              <w:pStyle w:val="BodyText"/>
              <w:rPr>
                <w:rFonts w:cs="Arial"/>
                <w:b/>
                <w:szCs w:val="22"/>
              </w:rPr>
            </w:pPr>
            <w:r w:rsidRPr="00651F79">
              <w:rPr>
                <w:rFonts w:cs="Arial"/>
                <w:b/>
                <w:szCs w:val="22"/>
              </w:rPr>
              <w:t xml:space="preserve">Do you wish to raise a WG Consultation Alternative Request for the </w:t>
            </w:r>
            <w:r>
              <w:rPr>
                <w:rFonts w:cs="Arial"/>
                <w:b/>
                <w:szCs w:val="22"/>
              </w:rPr>
              <w:t>Workgroup</w:t>
            </w:r>
            <w:r w:rsidRPr="00651F79">
              <w:rPr>
                <w:rFonts w:cs="Arial"/>
                <w:b/>
                <w:szCs w:val="22"/>
              </w:rPr>
              <w:t xml:space="preserve"> to consider? </w:t>
            </w:r>
          </w:p>
          <w:p w:rsidR="00C15869" w:rsidRPr="007043A3" w:rsidRDefault="00C15869" w:rsidP="00891EDA">
            <w:pPr>
              <w:rPr>
                <w:b/>
                <w:bCs/>
              </w:rPr>
            </w:pPr>
          </w:p>
        </w:tc>
        <w:tc>
          <w:tcPr>
            <w:tcW w:w="6336" w:type="dxa"/>
          </w:tcPr>
          <w:p w:rsidR="00C15869" w:rsidRDefault="00C15869" w:rsidP="00891EDA">
            <w:pPr>
              <w:rPr>
                <w:rFonts w:cs="Arial"/>
                <w:i/>
                <w:szCs w:val="22"/>
              </w:rPr>
            </w:pPr>
            <w:r w:rsidRPr="00651F79">
              <w:rPr>
                <w:rFonts w:cs="Arial"/>
                <w:i/>
                <w:szCs w:val="22"/>
              </w:rPr>
              <w:t>If yes, please complete a WG Consultation Alternative Request form, available on National Grid</w:t>
            </w:r>
            <w:smartTag w:uri="urn:schemas-microsoft-com:office:smarttags" w:element="PersonName">
              <w:r w:rsidRPr="00651F79">
                <w:rPr>
                  <w:rFonts w:cs="Arial"/>
                  <w:i/>
                  <w:szCs w:val="22"/>
                </w:rPr>
                <w:t>'</w:t>
              </w:r>
            </w:smartTag>
            <w:r w:rsidRPr="00651F79">
              <w:rPr>
                <w:rFonts w:cs="Arial"/>
                <w:i/>
                <w:szCs w:val="22"/>
              </w:rPr>
              <w:t>s website</w:t>
            </w:r>
            <w:r>
              <w:rPr>
                <w:rStyle w:val="FootnoteReference"/>
                <w:rFonts w:cs="Arial"/>
                <w:i/>
                <w:szCs w:val="22"/>
              </w:rPr>
              <w:footnoteReference w:id="1"/>
            </w:r>
            <w:r w:rsidRPr="00651F79">
              <w:rPr>
                <w:rFonts w:cs="Arial"/>
                <w:i/>
                <w:szCs w:val="22"/>
              </w:rPr>
              <w:t>, and return to the</w:t>
            </w:r>
            <w:r w:rsidR="00594962">
              <w:rPr>
                <w:rFonts w:cs="Arial"/>
                <w:i/>
                <w:szCs w:val="22"/>
              </w:rPr>
              <w:t xml:space="preserve"> CUSC inbox at </w:t>
            </w:r>
            <w:hyperlink r:id="rId11" w:history="1">
              <w:r w:rsidR="00594962" w:rsidRPr="00634A2E">
                <w:rPr>
                  <w:rStyle w:val="Hyperlink"/>
                  <w:rFonts w:cs="Arial"/>
                  <w:i/>
                  <w:szCs w:val="22"/>
                </w:rPr>
                <w:t>cusc.team@nationalgrid.com</w:t>
              </w:r>
            </w:hyperlink>
          </w:p>
          <w:p w:rsidR="00594962" w:rsidRPr="00651F79" w:rsidRDefault="00594962" w:rsidP="00891EDA">
            <w:pPr>
              <w:rPr>
                <w:rFonts w:cs="Arial"/>
                <w:szCs w:val="22"/>
              </w:rPr>
            </w:pPr>
          </w:p>
        </w:tc>
      </w:tr>
    </w:tbl>
    <w:p w:rsidR="005A6B07" w:rsidRPr="00651F79" w:rsidRDefault="005A6B07" w:rsidP="00E62A86">
      <w:pPr>
        <w:rPr>
          <w:rFonts w:cs="Arial"/>
          <w:szCs w:val="22"/>
        </w:rPr>
      </w:pPr>
    </w:p>
    <w:p w:rsidR="00E62A86" w:rsidRPr="00651F79" w:rsidRDefault="00057443" w:rsidP="00E62A86">
      <w:pPr>
        <w:rPr>
          <w:rFonts w:cs="Arial"/>
          <w:b/>
          <w:szCs w:val="22"/>
        </w:rPr>
      </w:pPr>
      <w:r>
        <w:rPr>
          <w:rFonts w:cs="Arial"/>
          <w:b/>
          <w:szCs w:val="22"/>
        </w:rPr>
        <w:t xml:space="preserve">Specific questions for </w:t>
      </w:r>
      <w:r w:rsidRPr="00D96B36">
        <w:rPr>
          <w:rFonts w:cs="Arial"/>
          <w:b/>
          <w:szCs w:val="22"/>
        </w:rPr>
        <w:t>CM</w:t>
      </w:r>
      <w:r w:rsidR="007043A3" w:rsidRPr="00D96B36">
        <w:rPr>
          <w:rFonts w:cs="Arial"/>
          <w:b/>
          <w:szCs w:val="22"/>
        </w:rPr>
        <w:t>P2</w:t>
      </w:r>
      <w:r w:rsidR="00737AF9">
        <w:rPr>
          <w:rFonts w:cs="Arial"/>
          <w:b/>
          <w:szCs w:val="22"/>
        </w:rPr>
        <w:t>5</w:t>
      </w:r>
      <w:r w:rsidR="009963D4">
        <w:rPr>
          <w:rFonts w:cs="Arial"/>
          <w:b/>
          <w:szCs w:val="22"/>
        </w:rPr>
        <w:t>4</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E62A86" w:rsidRPr="00651F79" w:rsidTr="00FA07C6">
        <w:trPr>
          <w:cantSplit/>
          <w:trHeight w:val="267"/>
          <w:tblHeader/>
        </w:trPr>
        <w:tc>
          <w:tcPr>
            <w:tcW w:w="567" w:type="dxa"/>
            <w:shd w:val="clear" w:color="auto" w:fill="D9D9D9"/>
          </w:tcPr>
          <w:p w:rsidR="00E62A86" w:rsidRPr="00651F79" w:rsidRDefault="00E62A86" w:rsidP="00E62A86">
            <w:pPr>
              <w:rPr>
                <w:rFonts w:cs="Arial"/>
                <w:b/>
                <w:szCs w:val="22"/>
              </w:rPr>
            </w:pPr>
            <w:r w:rsidRPr="00651F79">
              <w:rPr>
                <w:rFonts w:cs="Arial"/>
                <w:b/>
                <w:szCs w:val="22"/>
              </w:rPr>
              <w:t>Q</w:t>
            </w:r>
          </w:p>
        </w:tc>
        <w:tc>
          <w:tcPr>
            <w:tcW w:w="3057" w:type="dxa"/>
            <w:shd w:val="clear" w:color="auto" w:fill="D9D9D9"/>
          </w:tcPr>
          <w:p w:rsidR="00E62A86" w:rsidRPr="00651F79" w:rsidRDefault="00E62A86" w:rsidP="00E62A86">
            <w:pPr>
              <w:rPr>
                <w:rFonts w:cs="Arial"/>
                <w:b/>
                <w:szCs w:val="22"/>
              </w:rPr>
            </w:pPr>
            <w:r w:rsidRPr="00651F79">
              <w:rPr>
                <w:rFonts w:cs="Arial"/>
                <w:b/>
                <w:szCs w:val="22"/>
              </w:rPr>
              <w:t>Question</w:t>
            </w:r>
          </w:p>
        </w:tc>
        <w:tc>
          <w:tcPr>
            <w:tcW w:w="6336" w:type="dxa"/>
            <w:shd w:val="clear" w:color="auto" w:fill="D9D9D9"/>
          </w:tcPr>
          <w:p w:rsidR="00E62A86" w:rsidRPr="00651F79" w:rsidRDefault="00E62A86" w:rsidP="00E62A86">
            <w:pPr>
              <w:rPr>
                <w:rFonts w:cs="Arial"/>
                <w:b/>
                <w:szCs w:val="22"/>
              </w:rPr>
            </w:pPr>
            <w:r w:rsidRPr="00651F79">
              <w:rPr>
                <w:rFonts w:cs="Arial"/>
                <w:b/>
                <w:szCs w:val="22"/>
              </w:rPr>
              <w:t>Response</w:t>
            </w:r>
          </w:p>
        </w:tc>
      </w:tr>
      <w:tr w:rsidR="00E62A86" w:rsidRPr="00651F79" w:rsidTr="009963D4">
        <w:trPr>
          <w:cantSplit/>
          <w:trHeight w:val="267"/>
        </w:trPr>
        <w:tc>
          <w:tcPr>
            <w:tcW w:w="567" w:type="dxa"/>
          </w:tcPr>
          <w:p w:rsidR="00E62A86" w:rsidRPr="00651F79" w:rsidRDefault="00594962" w:rsidP="00E62A86">
            <w:pPr>
              <w:rPr>
                <w:rFonts w:cs="Arial"/>
                <w:szCs w:val="22"/>
              </w:rPr>
            </w:pPr>
            <w:r>
              <w:rPr>
                <w:rFonts w:cs="Arial"/>
                <w:szCs w:val="22"/>
              </w:rPr>
              <w:t>5</w:t>
            </w:r>
          </w:p>
        </w:tc>
        <w:tc>
          <w:tcPr>
            <w:tcW w:w="3057" w:type="dxa"/>
          </w:tcPr>
          <w:p w:rsidR="00E62A86" w:rsidRDefault="00132BAC" w:rsidP="00057443">
            <w:pPr>
              <w:rPr>
                <w:rFonts w:cs="Arial"/>
                <w:b/>
                <w:bCs/>
                <w:szCs w:val="22"/>
              </w:rPr>
            </w:pPr>
            <w:r w:rsidRPr="00132BAC">
              <w:rPr>
                <w:rFonts w:cs="Arial"/>
                <w:b/>
                <w:bCs/>
                <w:szCs w:val="22"/>
              </w:rPr>
              <w:t>Is the HH methodology therefore more appropriate to customers with long term fixed price contracts rather than the traditional domestic tariffs?</w:t>
            </w:r>
          </w:p>
          <w:p w:rsidR="009179DF" w:rsidRPr="006B60E2" w:rsidRDefault="009179DF" w:rsidP="00057443">
            <w:pPr>
              <w:rPr>
                <w:rFonts w:cs="Arial"/>
                <w:b/>
                <w:bCs/>
                <w:szCs w:val="22"/>
              </w:rPr>
            </w:pPr>
          </w:p>
        </w:tc>
        <w:tc>
          <w:tcPr>
            <w:tcW w:w="6336" w:type="dxa"/>
          </w:tcPr>
          <w:p w:rsidR="00E62A86" w:rsidRPr="00594962" w:rsidRDefault="00E62A86" w:rsidP="00E62A86">
            <w:pPr>
              <w:rPr>
                <w:rFonts w:cs="Arial"/>
                <w:szCs w:val="22"/>
              </w:rPr>
            </w:pPr>
          </w:p>
        </w:tc>
      </w:tr>
      <w:tr w:rsidR="00E62A86" w:rsidRPr="00651F79" w:rsidTr="009963D4">
        <w:trPr>
          <w:cantSplit/>
          <w:trHeight w:val="267"/>
        </w:trPr>
        <w:tc>
          <w:tcPr>
            <w:tcW w:w="567" w:type="dxa"/>
          </w:tcPr>
          <w:p w:rsidR="00E62A86" w:rsidRPr="00651F79" w:rsidRDefault="00594962" w:rsidP="00E62A86">
            <w:pPr>
              <w:rPr>
                <w:rFonts w:cs="Arial"/>
                <w:szCs w:val="22"/>
              </w:rPr>
            </w:pPr>
            <w:r>
              <w:rPr>
                <w:rFonts w:cs="Arial"/>
                <w:szCs w:val="22"/>
              </w:rPr>
              <w:t>6</w:t>
            </w:r>
          </w:p>
        </w:tc>
        <w:tc>
          <w:tcPr>
            <w:tcW w:w="3057" w:type="dxa"/>
          </w:tcPr>
          <w:p w:rsidR="009963D4" w:rsidRDefault="00132BAC" w:rsidP="00BF1F85">
            <w:pPr>
              <w:rPr>
                <w:rFonts w:cs="Arial"/>
                <w:b/>
                <w:szCs w:val="22"/>
              </w:rPr>
            </w:pPr>
            <w:r w:rsidRPr="00132BAC">
              <w:rPr>
                <w:rFonts w:cs="Arial"/>
                <w:b/>
                <w:szCs w:val="22"/>
              </w:rPr>
              <w:t>Will the HH methodology discourage switching?</w:t>
            </w:r>
          </w:p>
          <w:p w:rsidR="009179DF" w:rsidRPr="00594962" w:rsidRDefault="009179DF" w:rsidP="00BF1F85">
            <w:pPr>
              <w:rPr>
                <w:rFonts w:cs="Arial"/>
                <w:b/>
                <w:szCs w:val="22"/>
              </w:rPr>
            </w:pPr>
          </w:p>
        </w:tc>
        <w:tc>
          <w:tcPr>
            <w:tcW w:w="6336" w:type="dxa"/>
          </w:tcPr>
          <w:p w:rsidR="00E62A86" w:rsidRPr="00594962" w:rsidRDefault="00E62A86" w:rsidP="00E62A86">
            <w:pPr>
              <w:rPr>
                <w:rFonts w:cs="Arial"/>
                <w:szCs w:val="22"/>
              </w:rPr>
            </w:pPr>
          </w:p>
        </w:tc>
      </w:tr>
    </w:tbl>
    <w:p w:rsidR="007F68E5" w:rsidRDefault="007F68E5"/>
    <w:p w:rsidR="00594962" w:rsidRDefault="00594962"/>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3A" w:rsidRDefault="0021533A">
      <w:r>
        <w:separator/>
      </w:r>
    </w:p>
  </w:endnote>
  <w:endnote w:type="continuationSeparator" w:id="0">
    <w:p w:rsidR="0021533A" w:rsidRDefault="002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3A" w:rsidRDefault="0021533A">
      <w:r>
        <w:separator/>
      </w:r>
    </w:p>
  </w:footnote>
  <w:footnote w:type="continuationSeparator" w:id="0">
    <w:p w:rsidR="0021533A" w:rsidRDefault="0021533A">
      <w:r>
        <w:continuationSeparator/>
      </w:r>
    </w:p>
  </w:footnote>
  <w:footnote w:id="1">
    <w:p w:rsidR="00C15869" w:rsidRPr="002368F6" w:rsidRDefault="00C15869" w:rsidP="007E526A">
      <w:pPr>
        <w:pStyle w:val="FootnoteText"/>
      </w:pPr>
      <w:r>
        <w:rPr>
          <w:rStyle w:val="FootnoteReference"/>
        </w:rPr>
        <w:footnoteRef/>
      </w:r>
      <w:r>
        <w:t xml:space="preserve"> </w:t>
      </w:r>
      <w:hyperlink r:id="rId1" w:history="1">
        <w:r w:rsidRPr="00D71A5C">
          <w:rPr>
            <w:rStyle w:val="Hyperlink"/>
          </w:rPr>
          <w:t>http://www.nationalgrid.com/uk/Electricity/Codes/systemcode/amendments/forms_guidance/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32BAC"/>
    <w:rsid w:val="00196A22"/>
    <w:rsid w:val="001A38EA"/>
    <w:rsid w:val="001D2A93"/>
    <w:rsid w:val="001E44D8"/>
    <w:rsid w:val="001E6AE5"/>
    <w:rsid w:val="002042CC"/>
    <w:rsid w:val="002060CE"/>
    <w:rsid w:val="0021533A"/>
    <w:rsid w:val="002362A8"/>
    <w:rsid w:val="002368F6"/>
    <w:rsid w:val="00242625"/>
    <w:rsid w:val="00245FF6"/>
    <w:rsid w:val="00253EEF"/>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c.team@nationalgrid.com" TargetMode="External"/><Relationship Id="rId5" Type="http://schemas.openxmlformats.org/officeDocument/2006/relationships/settings" Target="settings.xml"/><Relationship Id="rId10" Type="http://schemas.openxmlformats.org/officeDocument/2006/relationships/hyperlink" Target="mailto:heena.chauhan@nationalgrid.com" TargetMode="External"/><Relationship Id="rId4" Type="http://schemas.microsoft.com/office/2007/relationships/stylesWithEffects" Target="stylesWithEffects.xml"/><Relationship Id="rId9" Type="http://schemas.openxmlformats.org/officeDocument/2006/relationships/hyperlink" Target="mailto:cusc.team@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grid.com/uk/Electricity/Codes/systemcode/amendments/forms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2685B-8735-4A24-828F-92147D39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511</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3758</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3</cp:revision>
  <cp:lastPrinted>2015-11-26T14:15:00Z</cp:lastPrinted>
  <dcterms:created xsi:type="dcterms:W3CDTF">2016-09-14T13:08:00Z</dcterms:created>
  <dcterms:modified xsi:type="dcterms:W3CDTF">2016-09-14T15:56:00Z</dcterms:modified>
</cp:coreProperties>
</file>