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A66116" w:rsidP="00A66116">
      <w:pPr>
        <w:pStyle w:val="Heading1"/>
        <w:numPr>
          <w:ilvl w:val="0"/>
          <w:numId w:val="0"/>
        </w:numPr>
      </w:pPr>
      <w:bookmarkStart w:id="0" w:name="_Toc288131448"/>
      <w:r>
        <w:t xml:space="preserve">CUSC Workgroup Consultation Response </w:t>
      </w:r>
      <w:proofErr w:type="spellStart"/>
      <w:r>
        <w:t>Proforma</w:t>
      </w:r>
      <w:bookmarkEnd w:id="0"/>
      <w:proofErr w:type="spellEnd"/>
    </w:p>
    <w:p w:rsidR="002B6158" w:rsidRPr="00A66116" w:rsidRDefault="002B6158">
      <w:pPr>
        <w:rPr>
          <w:rFonts w:ascii="Arial" w:hAnsi="Arial" w:cs="Arial"/>
        </w:rPr>
      </w:pPr>
    </w:p>
    <w:p w:rsidR="00A66116" w:rsidRPr="00A66116" w:rsidRDefault="00A66116">
      <w:pPr>
        <w:rPr>
          <w:rFonts w:ascii="Arial" w:hAnsi="Arial" w:cs="Arial"/>
          <w:b/>
        </w:rPr>
      </w:pPr>
      <w:r w:rsidRPr="00A66116">
        <w:rPr>
          <w:rFonts w:ascii="Arial" w:hAnsi="Arial" w:cs="Arial"/>
          <w:b/>
        </w:rPr>
        <w:t>CMP2</w:t>
      </w:r>
      <w:r w:rsidR="00666316">
        <w:rPr>
          <w:rFonts w:ascii="Arial" w:hAnsi="Arial" w:cs="Arial"/>
          <w:b/>
        </w:rPr>
        <w:t>41</w:t>
      </w:r>
      <w:r w:rsidRPr="00A66116">
        <w:rPr>
          <w:rFonts w:ascii="Arial" w:hAnsi="Arial" w:cs="Arial"/>
          <w:b/>
        </w:rPr>
        <w:t xml:space="preserve"> ‘</w:t>
      </w:r>
      <w:proofErr w:type="spellStart"/>
      <w:r w:rsidR="00666316">
        <w:rPr>
          <w:rFonts w:ascii="Arial" w:hAnsi="Arial" w:cs="Arial"/>
          <w:b/>
        </w:rPr>
        <w:t>TNUoS</w:t>
      </w:r>
      <w:proofErr w:type="spellEnd"/>
      <w:r w:rsidR="00666316">
        <w:rPr>
          <w:rFonts w:ascii="Arial" w:hAnsi="Arial" w:cs="Arial"/>
          <w:b/>
        </w:rPr>
        <w:t xml:space="preserve"> Demand Charges during the Implementation of P272’</w:t>
      </w:r>
    </w:p>
    <w:p w:rsidR="00A66116" w:rsidRDefault="00A66116">
      <w:pPr>
        <w:rPr>
          <w:rFonts w:ascii="Arial" w:hAnsi="Arial" w:cs="Arial"/>
        </w:rPr>
      </w:pPr>
      <w:r>
        <w:rPr>
          <w:rFonts w:ascii="Arial" w:hAnsi="Arial" w:cs="Arial"/>
        </w:rPr>
        <w:t>Industry parties are invited to respond to this consultation expressing their views and supplying the rationale for those views, particularly in respect of any specific questions detailed below.</w:t>
      </w:r>
    </w:p>
    <w:p w:rsidR="00A66116" w:rsidRDefault="00666316">
      <w:pPr>
        <w:rPr>
          <w:rFonts w:ascii="Arial" w:hAnsi="Arial" w:cs="Arial"/>
        </w:rPr>
      </w:pPr>
      <w:r>
        <w:rPr>
          <w:rFonts w:ascii="Arial" w:hAnsi="Arial" w:cs="Arial"/>
        </w:rPr>
        <w:t xml:space="preserve">This is an urgent Modification and will have a reduced period for consultation of 3 working days in line with the agreed timetable. </w:t>
      </w:r>
      <w:r w:rsidR="00A66116">
        <w:rPr>
          <w:rFonts w:ascii="Arial" w:hAnsi="Arial" w:cs="Arial"/>
        </w:rPr>
        <w:t xml:space="preserve">Please send your responses </w:t>
      </w:r>
      <w:r>
        <w:rPr>
          <w:rFonts w:ascii="Arial" w:hAnsi="Arial" w:cs="Arial"/>
        </w:rPr>
        <w:t xml:space="preserve">by </w:t>
      </w:r>
      <w:r w:rsidRPr="00666316">
        <w:rPr>
          <w:rFonts w:ascii="Arial" w:hAnsi="Arial" w:cs="Arial"/>
          <w:b/>
        </w:rPr>
        <w:t>5:00pm</w:t>
      </w:r>
      <w:r>
        <w:rPr>
          <w:rFonts w:ascii="Arial" w:hAnsi="Arial" w:cs="Arial"/>
        </w:rPr>
        <w:t xml:space="preserve"> on</w:t>
      </w:r>
      <w:r w:rsidR="00A66116">
        <w:rPr>
          <w:rFonts w:ascii="Arial" w:hAnsi="Arial" w:cs="Arial"/>
        </w:rPr>
        <w:t xml:space="preserve"> </w:t>
      </w:r>
      <w:r w:rsidR="00A50AD4">
        <w:rPr>
          <w:rFonts w:ascii="Arial" w:hAnsi="Arial" w:cs="Arial"/>
          <w:b/>
        </w:rPr>
        <w:t>9</w:t>
      </w:r>
      <w:r w:rsidRPr="00666316">
        <w:rPr>
          <w:rFonts w:ascii="Arial" w:hAnsi="Arial" w:cs="Arial"/>
          <w:b/>
          <w:vertAlign w:val="superscript"/>
        </w:rPr>
        <w:t>th</w:t>
      </w:r>
      <w:r>
        <w:rPr>
          <w:rFonts w:ascii="Arial" w:hAnsi="Arial" w:cs="Arial"/>
          <w:b/>
        </w:rPr>
        <w:t xml:space="preserve"> </w:t>
      </w:r>
      <w:r w:rsidR="00A66116" w:rsidRPr="00A66116">
        <w:rPr>
          <w:rFonts w:ascii="Arial" w:hAnsi="Arial" w:cs="Arial"/>
          <w:b/>
        </w:rPr>
        <w:t>March 2015</w:t>
      </w:r>
      <w:r w:rsidR="00A66116">
        <w:rPr>
          <w:rFonts w:ascii="Arial" w:hAnsi="Arial" w:cs="Arial"/>
        </w:rPr>
        <w:t xml:space="preserve"> to </w:t>
      </w:r>
      <w:hyperlink r:id="rId8" w:history="1">
        <w:r w:rsidR="00A66116" w:rsidRPr="005C5B22">
          <w:rPr>
            <w:rStyle w:val="Hyperlink"/>
            <w:rFonts w:ascii="Arial" w:hAnsi="Arial" w:cs="Arial"/>
          </w:rPr>
          <w:t>cusc.team@nationalgrid.com</w:t>
        </w:r>
      </w:hyperlink>
      <w:r w:rsidR="00A66116">
        <w:rPr>
          <w:rFonts w:ascii="Arial" w:hAnsi="Arial" w:cs="Arial"/>
        </w:rPr>
        <w:t>.  Please note that any responses received after the deadline or sent to a different email address may not receive due consideration by the Workgroup.</w:t>
      </w:r>
    </w:p>
    <w:p w:rsidR="00A66116" w:rsidRDefault="00A66116">
      <w:pPr>
        <w:rPr>
          <w:rFonts w:ascii="Arial" w:hAnsi="Arial" w:cs="Arial"/>
        </w:rPr>
      </w:pPr>
      <w:r>
        <w:rPr>
          <w:rFonts w:ascii="Arial" w:hAnsi="Arial" w:cs="Arial"/>
        </w:rPr>
        <w:t xml:space="preserve">Any queries on the content of the consultation should be addressed to Jade Clarke at </w:t>
      </w:r>
      <w:hyperlink r:id="rId9" w:history="1">
        <w:r w:rsidRPr="005C5B22">
          <w:rPr>
            <w:rStyle w:val="Hyperlink"/>
            <w:rFonts w:ascii="Arial" w:hAnsi="Arial" w:cs="Arial"/>
          </w:rPr>
          <w:t>jade.clarke@nationalgrid.com</w:t>
        </w:r>
      </w:hyperlink>
    </w:p>
    <w:p w:rsidR="00A66116" w:rsidRDefault="00A66116">
      <w:pPr>
        <w:rPr>
          <w:rFonts w:ascii="Arial" w:hAnsi="Arial" w:cs="Arial"/>
        </w:rPr>
      </w:pPr>
      <w:r>
        <w:rPr>
          <w:rFonts w:ascii="Arial" w:hAnsi="Arial" w:cs="Arial"/>
        </w:rPr>
        <w:t>These responses will be considered by the Workgroup at their next meeting at which members will also consider any Workgroup Consultation Alternative Requests. Where appropriate, the Workgroup will record your response and its consideration of it within the final Workgroup Report which is submitted to the CUSC Modifications Panel.</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Please express your views regarding the Workgroup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A112A9" w:rsidRDefault="00A112A9" w:rsidP="00A112A9">
            <w:pPr>
              <w:pStyle w:val="Heading2"/>
              <w:numPr>
                <w:ilvl w:val="0"/>
                <w:numId w:val="0"/>
              </w:numPr>
            </w:pPr>
            <w:r>
              <w:t xml:space="preserve">For reference, the Applicable CUSC objectives are: </w:t>
            </w:r>
          </w:p>
          <w:p w:rsidR="00A112A9" w:rsidRPr="00A112A9" w:rsidRDefault="00A112A9" w:rsidP="00A112A9">
            <w:pPr>
              <w:pStyle w:val="Heading2"/>
              <w:numPr>
                <w:ilvl w:val="0"/>
                <w:numId w:val="0"/>
              </w:numPr>
              <w:rPr>
                <w:rFonts w:cstheme="minorBidi"/>
                <w:b/>
                <w:bCs w:val="0"/>
                <w:iCs w:val="0"/>
                <w:szCs w:val="22"/>
              </w:rPr>
            </w:pPr>
            <w:r w:rsidRPr="00A112A9">
              <w:rPr>
                <w:b/>
              </w:rPr>
              <w:t>Use of System Charging Methodology</w:t>
            </w:r>
          </w:p>
          <w:p w:rsidR="00A112A9" w:rsidRDefault="00A112A9" w:rsidP="00A112A9">
            <w:pPr>
              <w:pStyle w:val="BodyText"/>
              <w:numPr>
                <w:ilvl w:val="0"/>
                <w:numId w:val="2"/>
              </w:numPr>
              <w:rPr>
                <w:rFonts w:cs="Arial"/>
                <w:szCs w:val="22"/>
              </w:rPr>
            </w:pPr>
            <w:r>
              <w:rPr>
                <w:rFonts w:cs="Arial"/>
                <w:szCs w:val="22"/>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A112A9" w:rsidRDefault="00A112A9" w:rsidP="00A112A9">
            <w:pPr>
              <w:pStyle w:val="BodyText"/>
              <w:numPr>
                <w:ilvl w:val="0"/>
                <w:numId w:val="2"/>
              </w:numPr>
              <w:rPr>
                <w:rFonts w:cs="Arial"/>
                <w:szCs w:val="22"/>
              </w:rPr>
            </w:pPr>
            <w:r>
              <w:rPr>
                <w:rFonts w:cs="Arial"/>
                <w:szCs w:val="22"/>
              </w:rPr>
              <w:t>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A112A9" w:rsidRDefault="00A112A9" w:rsidP="00A112A9">
            <w:pPr>
              <w:pStyle w:val="BodyText"/>
              <w:numPr>
                <w:ilvl w:val="0"/>
                <w:numId w:val="2"/>
              </w:numPr>
              <w:rPr>
                <w:rFonts w:cs="Arial"/>
                <w:szCs w:val="22"/>
              </w:rPr>
            </w:pPr>
            <w:r>
              <w:rPr>
                <w:rFonts w:cs="Arial"/>
                <w:szCs w:val="22"/>
              </w:rPr>
              <w:t xml:space="preserve">That, so far as is consistent with sub-paragraphs (a) and (b), the use of system charging methodology, as far as is reasonably practicable, properly takes account of the </w:t>
            </w:r>
            <w:r>
              <w:rPr>
                <w:rFonts w:cs="Arial"/>
                <w:szCs w:val="22"/>
              </w:rPr>
              <w:lastRenderedPageBreak/>
              <w:t>developments in transmission licensees’ transmission businesses.</w:t>
            </w:r>
          </w:p>
          <w:p w:rsidR="00A66116" w:rsidRPr="00A112A9" w:rsidRDefault="00A112A9" w:rsidP="00A112A9">
            <w:pPr>
              <w:pStyle w:val="BodyText"/>
              <w:numPr>
                <w:ilvl w:val="0"/>
                <w:numId w:val="2"/>
              </w:numPr>
              <w:rPr>
                <w:rFonts w:cs="Arial"/>
                <w:szCs w:val="22"/>
              </w:rPr>
            </w:pPr>
            <w:r w:rsidRPr="00A112A9">
              <w:rPr>
                <w:rFonts w:cs="Arial"/>
                <w:szCs w:val="22"/>
              </w:rPr>
              <w:t>Compliance with the Electricity Regulation and any relevant legally binding decision of the European Commission and/or the Agency.</w:t>
            </w:r>
          </w:p>
        </w:tc>
      </w:tr>
    </w:tbl>
    <w:p w:rsidR="00A112A9" w:rsidRDefault="00A112A9">
      <w:pPr>
        <w:rPr>
          <w:rFonts w:ascii="Arial" w:hAnsi="Arial" w:cs="Arial"/>
        </w:rPr>
      </w:pPr>
    </w:p>
    <w:p w:rsidR="00A112A9" w:rsidRPr="00A112A9" w:rsidRDefault="00A112A9">
      <w:pPr>
        <w:rPr>
          <w:rFonts w:ascii="Arial" w:hAnsi="Arial" w:cs="Arial"/>
          <w:b/>
        </w:rPr>
      </w:pPr>
      <w:r w:rsidRPr="00A112A9">
        <w:rPr>
          <w:rFonts w:ascii="Arial" w:hAnsi="Arial" w:cs="Arial"/>
          <w:b/>
        </w:rPr>
        <w:t>Standard Workgroup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Do you believe that CMP241 better facilitates the Applicable CUSC Charging objectives?</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3</w:t>
            </w:r>
          </w:p>
        </w:tc>
        <w:tc>
          <w:tcPr>
            <w:tcW w:w="2923" w:type="dxa"/>
          </w:tcPr>
          <w:p w:rsidR="00A112A9" w:rsidRDefault="00A112A9" w:rsidP="00A112A9">
            <w:pPr>
              <w:ind w:left="-79"/>
              <w:rPr>
                <w:rFonts w:ascii="Arial" w:hAnsi="Arial" w:cs="Arial"/>
                <w:b/>
              </w:rPr>
            </w:pPr>
            <w:r w:rsidRPr="00A112A9">
              <w:rPr>
                <w:rFonts w:ascii="Arial" w:hAnsi="Arial" w:cs="Arial"/>
                <w:b/>
              </w:rPr>
              <w:t>Do you have any other comments?</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4</w:t>
            </w:r>
          </w:p>
        </w:tc>
        <w:tc>
          <w:tcPr>
            <w:tcW w:w="2923" w:type="dxa"/>
          </w:tcPr>
          <w:p w:rsidR="00A112A9" w:rsidRDefault="00A112A9" w:rsidP="00A112A9">
            <w:pPr>
              <w:ind w:left="-79"/>
              <w:rPr>
                <w:rFonts w:ascii="Arial" w:hAnsi="Arial" w:cs="Arial"/>
                <w:b/>
              </w:rPr>
            </w:pPr>
            <w:r w:rsidRPr="00A112A9">
              <w:rPr>
                <w:rFonts w:ascii="Arial" w:hAnsi="Arial" w:cs="Arial"/>
                <w:b/>
              </w:rPr>
              <w:t>Do you wish to raise a Workgroup Consultation Alternative request for the Workgroup to consider?</w:t>
            </w:r>
          </w:p>
          <w:p w:rsidR="00A112A9" w:rsidRPr="00A112A9" w:rsidRDefault="00A112A9" w:rsidP="00A112A9">
            <w:pPr>
              <w:ind w:left="-79"/>
              <w:rPr>
                <w:rFonts w:ascii="Arial" w:hAnsi="Arial" w:cs="Arial"/>
                <w:b/>
              </w:rPr>
            </w:pPr>
          </w:p>
        </w:tc>
        <w:tc>
          <w:tcPr>
            <w:tcW w:w="5981" w:type="dxa"/>
          </w:tcPr>
          <w:p w:rsidR="00A112A9" w:rsidRPr="00A112A9" w:rsidRDefault="00A112A9" w:rsidP="00A112A9">
            <w:pPr>
              <w:rPr>
                <w:rFonts w:ascii="Arial" w:hAnsi="Arial" w:cs="Arial"/>
                <w:i/>
              </w:rPr>
            </w:pPr>
            <w:r w:rsidRPr="00A112A9">
              <w:rPr>
                <w:rFonts w:ascii="Arial" w:hAnsi="Arial" w:cs="Arial"/>
                <w:i/>
              </w:rPr>
              <w:t>If yes, please complete a WG Consultation Alternative Request form, available on National Grid</w:t>
            </w:r>
            <w:smartTag w:uri="urn:schemas-microsoft-com:office:smarttags" w:element="PersonName">
              <w:r w:rsidRPr="00A112A9">
                <w:rPr>
                  <w:rFonts w:ascii="Arial" w:hAnsi="Arial" w:cs="Arial"/>
                  <w:i/>
                </w:rPr>
                <w:t>'</w:t>
              </w:r>
            </w:smartTag>
            <w:r w:rsidRPr="00A112A9">
              <w:rPr>
                <w:rFonts w:ascii="Arial" w:hAnsi="Arial" w:cs="Arial"/>
                <w:i/>
              </w:rPr>
              <w:t>s website</w:t>
            </w:r>
            <w:r w:rsidRPr="00A112A9">
              <w:rPr>
                <w:rStyle w:val="FootnoteReference"/>
                <w:rFonts w:ascii="Arial" w:hAnsi="Arial" w:cs="Arial"/>
                <w:i/>
              </w:rPr>
              <w:footnoteReference w:id="1"/>
            </w:r>
            <w:r w:rsidRPr="00A112A9">
              <w:rPr>
                <w:rFonts w:ascii="Arial" w:hAnsi="Arial" w:cs="Arial"/>
                <w:i/>
              </w:rPr>
              <w:t xml:space="preserve">, and return to the CUSC inbox at </w:t>
            </w:r>
            <w:hyperlink r:id="rId10" w:history="1">
              <w:r w:rsidRPr="00A112A9">
                <w:rPr>
                  <w:rStyle w:val="Hyperlink"/>
                  <w:rFonts w:ascii="Arial" w:hAnsi="Arial" w:cs="Arial"/>
                  <w:i/>
                </w:rPr>
                <w:t>cusc.team@nationalgrid.com</w:t>
              </w:r>
            </w:hyperlink>
          </w:p>
        </w:tc>
      </w:tr>
    </w:tbl>
    <w:p w:rsidR="00A112A9" w:rsidRDefault="00A112A9">
      <w:pPr>
        <w:rPr>
          <w:rFonts w:ascii="Arial" w:hAnsi="Arial" w:cs="Arial"/>
        </w:rPr>
      </w:pPr>
    </w:p>
    <w:p w:rsidR="00A112A9" w:rsidRPr="00A112A9" w:rsidRDefault="00A112A9">
      <w:pPr>
        <w:rPr>
          <w:rFonts w:ascii="Arial" w:hAnsi="Arial" w:cs="Arial"/>
          <w:b/>
        </w:rPr>
      </w:pPr>
      <w:r w:rsidRPr="00A112A9">
        <w:rPr>
          <w:rFonts w:ascii="Arial" w:hAnsi="Arial" w:cs="Arial"/>
          <w:b/>
        </w:rPr>
        <w:t>Specific questions for CMP2</w:t>
      </w:r>
      <w:r w:rsidR="006E10A6">
        <w:rPr>
          <w:rFonts w:ascii="Arial" w:hAnsi="Arial" w:cs="Arial"/>
          <w:b/>
        </w:rPr>
        <w:t>41</w:t>
      </w:r>
      <w:bookmarkStart w:id="1" w:name="_GoBack"/>
      <w:bookmarkEnd w:id="1"/>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Q</w:t>
            </w:r>
          </w:p>
        </w:tc>
        <w:tc>
          <w:tcPr>
            <w:tcW w:w="2923" w:type="dxa"/>
          </w:tcPr>
          <w:p w:rsidR="00A112A9" w:rsidRPr="00A112A9" w:rsidRDefault="00A112A9" w:rsidP="007C07C4">
            <w:pPr>
              <w:ind w:left="-79"/>
              <w:rPr>
                <w:rFonts w:ascii="Arial" w:hAnsi="Arial" w:cs="Arial"/>
                <w:b/>
              </w:rPr>
            </w:pPr>
            <w:r w:rsidRPr="00A112A9">
              <w:rPr>
                <w:rFonts w:ascii="Arial" w:hAnsi="Arial" w:cs="Arial"/>
                <w:b/>
              </w:rPr>
              <w:t>Question</w:t>
            </w:r>
          </w:p>
        </w:tc>
        <w:tc>
          <w:tcPr>
            <w:tcW w:w="5981" w:type="dxa"/>
          </w:tcPr>
          <w:p w:rsidR="00A112A9" w:rsidRPr="00A112A9" w:rsidRDefault="00A112A9" w:rsidP="007C07C4">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5</w:t>
            </w:r>
          </w:p>
        </w:tc>
        <w:tc>
          <w:tcPr>
            <w:tcW w:w="2923" w:type="dxa"/>
          </w:tcPr>
          <w:p w:rsidR="00A112A9" w:rsidRPr="00A112A9" w:rsidRDefault="00666316" w:rsidP="00A112A9">
            <w:pPr>
              <w:ind w:left="-79"/>
              <w:rPr>
                <w:rFonts w:ascii="Arial" w:hAnsi="Arial" w:cs="Arial"/>
                <w:b/>
              </w:rPr>
            </w:pPr>
            <w:r>
              <w:rPr>
                <w:rFonts w:ascii="Arial" w:hAnsi="Arial" w:cs="Arial"/>
                <w:b/>
              </w:rPr>
              <w:t>Do you consider that Suppliers would be able to provide metering data for Measurement Class E meters which were originally within profile Classes 5-8 and have moved to being HH settled prior to 1</w:t>
            </w:r>
            <w:r w:rsidRPr="00666316">
              <w:rPr>
                <w:rFonts w:ascii="Arial" w:hAnsi="Arial" w:cs="Arial"/>
                <w:b/>
                <w:vertAlign w:val="superscript"/>
              </w:rPr>
              <w:t>st</w:t>
            </w:r>
            <w:r>
              <w:rPr>
                <w:rFonts w:ascii="Arial" w:hAnsi="Arial" w:cs="Arial"/>
                <w:b/>
              </w:rPr>
              <w:t xml:space="preserve"> April </w:t>
            </w:r>
            <w:proofErr w:type="gramStart"/>
            <w:r>
              <w:rPr>
                <w:rFonts w:ascii="Arial" w:hAnsi="Arial" w:cs="Arial"/>
                <w:b/>
              </w:rPr>
              <w:t>2015.</w:t>
            </w:r>
            <w:proofErr w:type="gramEnd"/>
          </w:p>
        </w:tc>
        <w:tc>
          <w:tcPr>
            <w:tcW w:w="5981" w:type="dxa"/>
          </w:tcPr>
          <w:p w:rsidR="00A112A9" w:rsidRDefault="00A112A9" w:rsidP="007C07C4">
            <w:pPr>
              <w:ind w:left="-79"/>
              <w:rPr>
                <w:rFonts w:ascii="Arial" w:hAnsi="Arial" w:cs="Arial"/>
              </w:rPr>
            </w:pPr>
          </w:p>
        </w:tc>
      </w:tr>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6</w:t>
            </w:r>
          </w:p>
        </w:tc>
        <w:tc>
          <w:tcPr>
            <w:tcW w:w="2923" w:type="dxa"/>
          </w:tcPr>
          <w:p w:rsidR="00A112A9" w:rsidRPr="00A112A9" w:rsidRDefault="005C5FF8" w:rsidP="00666316">
            <w:pPr>
              <w:ind w:left="-79"/>
              <w:rPr>
                <w:rFonts w:ascii="Arial" w:hAnsi="Arial" w:cs="Arial"/>
                <w:b/>
              </w:rPr>
            </w:pPr>
            <w:r>
              <w:rPr>
                <w:rFonts w:ascii="Arial" w:hAnsi="Arial" w:cs="Arial"/>
                <w:b/>
              </w:rPr>
              <w:t xml:space="preserve">If you are a Supplier, will you be able to treat actual HH settled meters as NHH settled meters within your own systems for the purpose of charging </w:t>
            </w:r>
            <w:proofErr w:type="spellStart"/>
            <w:r>
              <w:rPr>
                <w:rFonts w:ascii="Arial" w:hAnsi="Arial" w:cs="Arial"/>
                <w:b/>
              </w:rPr>
              <w:t>TNUoS</w:t>
            </w:r>
            <w:proofErr w:type="spellEnd"/>
            <w:r>
              <w:rPr>
                <w:rFonts w:ascii="Arial" w:hAnsi="Arial" w:cs="Arial"/>
                <w:b/>
              </w:rPr>
              <w:t>?</w:t>
            </w:r>
          </w:p>
        </w:tc>
        <w:tc>
          <w:tcPr>
            <w:tcW w:w="5981" w:type="dxa"/>
          </w:tcPr>
          <w:p w:rsidR="00A112A9" w:rsidRDefault="00A112A9" w:rsidP="007C07C4">
            <w:pPr>
              <w:ind w:left="-79"/>
              <w:rPr>
                <w:rFonts w:ascii="Arial" w:hAnsi="Arial" w:cs="Arial"/>
              </w:rPr>
            </w:pPr>
          </w:p>
        </w:tc>
      </w:tr>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7</w:t>
            </w:r>
          </w:p>
        </w:tc>
        <w:tc>
          <w:tcPr>
            <w:tcW w:w="2923" w:type="dxa"/>
          </w:tcPr>
          <w:p w:rsidR="00A112A9" w:rsidRPr="00A112A9" w:rsidRDefault="005C5FF8" w:rsidP="007C07C4">
            <w:pPr>
              <w:ind w:left="-79"/>
              <w:rPr>
                <w:rFonts w:ascii="Arial" w:hAnsi="Arial" w:cs="Arial"/>
                <w:b/>
              </w:rPr>
            </w:pPr>
            <w:r>
              <w:rPr>
                <w:rFonts w:ascii="Arial" w:hAnsi="Arial" w:cs="Arial"/>
                <w:b/>
              </w:rPr>
              <w:t>Do you envisage system changes, if so what are the likely cost and time implications of this?</w:t>
            </w:r>
          </w:p>
          <w:p w:rsidR="00A112A9" w:rsidRPr="00A112A9" w:rsidRDefault="00A112A9" w:rsidP="007C07C4">
            <w:pPr>
              <w:ind w:left="-79"/>
              <w:rPr>
                <w:rFonts w:ascii="Arial" w:hAnsi="Arial" w:cs="Arial"/>
                <w:b/>
              </w:rPr>
            </w:pP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Pr="00A66116" w:rsidRDefault="00A112A9">
      <w:pPr>
        <w:rPr>
          <w:rFonts w:ascii="Arial" w:hAnsi="Arial" w:cs="Arial"/>
        </w:rPr>
      </w:pPr>
    </w:p>
    <w:sectPr w:rsidR="00A112A9" w:rsidRPr="00A66116"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A9" w:rsidRDefault="00A112A9" w:rsidP="00A112A9">
      <w:pPr>
        <w:spacing w:after="0" w:line="240" w:lineRule="auto"/>
      </w:pPr>
      <w:r>
        <w:separator/>
      </w:r>
    </w:p>
  </w:endnote>
  <w:endnote w:type="continuationSeparator" w:id="0">
    <w:p w:rsidR="00A112A9" w:rsidRDefault="00A112A9"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A9" w:rsidRDefault="00A112A9" w:rsidP="00A112A9">
      <w:pPr>
        <w:spacing w:after="0" w:line="240" w:lineRule="auto"/>
      </w:pPr>
      <w:r>
        <w:separator/>
      </w:r>
    </w:p>
  </w:footnote>
  <w:footnote w:type="continuationSeparator" w:id="0">
    <w:p w:rsidR="00A112A9" w:rsidRDefault="00A112A9" w:rsidP="00A112A9">
      <w:pPr>
        <w:spacing w:after="0" w:line="240" w:lineRule="auto"/>
      </w:pPr>
      <w:r>
        <w:continuationSeparator/>
      </w:r>
    </w:p>
  </w:footnote>
  <w:footnote w:id="1">
    <w:p w:rsidR="00A112A9" w:rsidRPr="002368F6" w:rsidRDefault="00A112A9" w:rsidP="00A112A9">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2B6158"/>
    <w:rsid w:val="005C5FF8"/>
    <w:rsid w:val="00666316"/>
    <w:rsid w:val="006E10A6"/>
    <w:rsid w:val="00A112A9"/>
    <w:rsid w:val="00A50AD4"/>
    <w:rsid w:val="00A6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jade.clarke@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555</Words>
  <Characters>3167</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CUSC Workgroup Consultation Response Proforma</vt:lpstr>
    </vt:vector>
  </TitlesOfParts>
  <Company>National Grid</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Jade Elizabeth Clarke</cp:lastModifiedBy>
  <cp:revision>5</cp:revision>
  <dcterms:created xsi:type="dcterms:W3CDTF">2015-02-19T09:51:00Z</dcterms:created>
  <dcterms:modified xsi:type="dcterms:W3CDTF">2015-03-06T14:51:00Z</dcterms:modified>
</cp:coreProperties>
</file>