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16" w:rsidRDefault="00A66116" w:rsidP="00A66116">
      <w:pPr>
        <w:pStyle w:val="Heading1"/>
        <w:numPr>
          <w:ilvl w:val="0"/>
          <w:numId w:val="0"/>
        </w:numPr>
      </w:pPr>
      <w:bookmarkStart w:id="0" w:name="_Toc288131448"/>
      <w:r>
        <w:t>CUSC Workgroup Consultation Response Proforma</w:t>
      </w:r>
      <w:bookmarkEnd w:id="0"/>
    </w:p>
    <w:p w:rsidR="002B6158" w:rsidRPr="00A66116" w:rsidRDefault="002B6158">
      <w:pPr>
        <w:rPr>
          <w:rFonts w:ascii="Arial" w:hAnsi="Arial" w:cs="Arial"/>
        </w:rPr>
      </w:pPr>
    </w:p>
    <w:p w:rsidR="00A66116" w:rsidRPr="00A66116" w:rsidRDefault="00A66116">
      <w:pPr>
        <w:rPr>
          <w:rFonts w:ascii="Arial" w:hAnsi="Arial" w:cs="Arial"/>
          <w:b/>
        </w:rPr>
      </w:pPr>
      <w:r w:rsidRPr="00A66116">
        <w:rPr>
          <w:rFonts w:ascii="Arial" w:hAnsi="Arial" w:cs="Arial"/>
          <w:b/>
        </w:rPr>
        <w:t>CMP239 ‘Grandfathering Arrangements for the Small Generator Discount’</w:t>
      </w:r>
    </w:p>
    <w:p w:rsidR="00A66116" w:rsidRDefault="00A66116">
      <w:pPr>
        <w:rPr>
          <w:rFonts w:ascii="Arial" w:hAnsi="Arial" w:cs="Arial"/>
        </w:rPr>
      </w:pPr>
      <w:r>
        <w:rPr>
          <w:rFonts w:ascii="Arial" w:hAnsi="Arial" w:cs="Arial"/>
        </w:rPr>
        <w:t>Industry parties are invited to respond to this consultation expressing their views and supplying the rationale for those views, particularly in respect of any specific questions detailed below.</w:t>
      </w:r>
    </w:p>
    <w:p w:rsidR="00A66116" w:rsidRDefault="00A66116">
      <w:pPr>
        <w:rPr>
          <w:rFonts w:ascii="Arial" w:hAnsi="Arial" w:cs="Arial"/>
        </w:rPr>
      </w:pPr>
      <w:r>
        <w:rPr>
          <w:rFonts w:ascii="Arial" w:hAnsi="Arial" w:cs="Arial"/>
        </w:rPr>
        <w:t xml:space="preserve">Please send your responses by </w:t>
      </w:r>
      <w:r w:rsidRPr="00A66116">
        <w:rPr>
          <w:rFonts w:ascii="Arial" w:hAnsi="Arial" w:cs="Arial"/>
          <w:b/>
        </w:rPr>
        <w:t>4</w:t>
      </w:r>
      <w:r w:rsidRPr="00A66116">
        <w:rPr>
          <w:rFonts w:ascii="Arial" w:hAnsi="Arial" w:cs="Arial"/>
          <w:b/>
          <w:vertAlign w:val="superscript"/>
        </w:rPr>
        <w:t>th</w:t>
      </w:r>
      <w:r w:rsidRPr="00A66116">
        <w:rPr>
          <w:rFonts w:ascii="Arial" w:hAnsi="Arial" w:cs="Arial"/>
          <w:b/>
        </w:rPr>
        <w:t xml:space="preserve"> March 2015</w:t>
      </w:r>
      <w:r>
        <w:rPr>
          <w:rFonts w:ascii="Arial" w:hAnsi="Arial" w:cs="Arial"/>
        </w:rPr>
        <w:t xml:space="preserve"> to </w:t>
      </w:r>
      <w:hyperlink r:id="rId8" w:history="1">
        <w:r w:rsidRPr="005C5B22">
          <w:rPr>
            <w:rStyle w:val="Hyperlink"/>
            <w:rFonts w:ascii="Arial" w:hAnsi="Arial" w:cs="Arial"/>
          </w:rPr>
          <w:t>cusc.team@nationalgrid.com</w:t>
        </w:r>
      </w:hyperlink>
      <w:r>
        <w:rPr>
          <w:rFonts w:ascii="Arial" w:hAnsi="Arial" w:cs="Arial"/>
        </w:rPr>
        <w:t>.  Please note that any responses received after the deadline or sent to a different email address may not receive due consideration by the Workgroup.</w:t>
      </w:r>
    </w:p>
    <w:p w:rsidR="00A66116" w:rsidRDefault="00A66116">
      <w:pPr>
        <w:rPr>
          <w:rFonts w:ascii="Arial" w:hAnsi="Arial" w:cs="Arial"/>
        </w:rPr>
      </w:pPr>
      <w:r>
        <w:rPr>
          <w:rFonts w:ascii="Arial" w:hAnsi="Arial" w:cs="Arial"/>
        </w:rPr>
        <w:t xml:space="preserve">Any queries on the content of the consultation should be addressed to Jade Clarke at </w:t>
      </w:r>
      <w:hyperlink r:id="rId9" w:history="1">
        <w:r w:rsidRPr="005C5B22">
          <w:rPr>
            <w:rStyle w:val="Hyperlink"/>
            <w:rFonts w:ascii="Arial" w:hAnsi="Arial" w:cs="Arial"/>
          </w:rPr>
          <w:t>jade.clarke@nationalgrid.com</w:t>
        </w:r>
      </w:hyperlink>
    </w:p>
    <w:p w:rsidR="00A66116" w:rsidRDefault="00A66116">
      <w:pPr>
        <w:rPr>
          <w:rFonts w:ascii="Arial" w:hAnsi="Arial" w:cs="Arial"/>
        </w:rPr>
      </w:pPr>
      <w:r>
        <w:rPr>
          <w:rFonts w:ascii="Arial" w:hAnsi="Arial" w:cs="Arial"/>
        </w:rPr>
        <w:t>These responses will be considered by the Workgroup at their next meeting at which members will also consider any Workgroup Consultation Alternative Requests. Where appropriate, the Workgroup will record your response and its consideration of it within the final Workgroup Report which is submitted to the CUSC Modifications Panel.</w:t>
      </w: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A66116" w:rsidTr="00A112A9">
        <w:tblPrEx>
          <w:tblCellMar>
            <w:top w:w="0" w:type="dxa"/>
            <w:bottom w:w="0" w:type="dxa"/>
          </w:tblCellMar>
        </w:tblPrEx>
        <w:trPr>
          <w:trHeight w:val="290"/>
        </w:trPr>
        <w:tc>
          <w:tcPr>
            <w:tcW w:w="3085" w:type="dxa"/>
          </w:tcPr>
          <w:p w:rsidR="00A66116" w:rsidRPr="00A112A9" w:rsidRDefault="00A66116" w:rsidP="00A66116">
            <w:pPr>
              <w:rPr>
                <w:rFonts w:ascii="Arial" w:hAnsi="Arial" w:cs="Arial"/>
                <w:b/>
              </w:rPr>
            </w:pPr>
            <w:r w:rsidRPr="00A112A9">
              <w:rPr>
                <w:rFonts w:ascii="Arial" w:hAnsi="Arial" w:cs="Arial"/>
                <w:b/>
              </w:rPr>
              <w:t>Respondent:</w:t>
            </w:r>
          </w:p>
        </w:tc>
        <w:tc>
          <w:tcPr>
            <w:tcW w:w="6480" w:type="dxa"/>
          </w:tcPr>
          <w:p w:rsidR="00A66116" w:rsidRPr="00A112A9" w:rsidRDefault="00A66116" w:rsidP="00A66116">
            <w:pPr>
              <w:rPr>
                <w:rFonts w:ascii="Arial" w:hAnsi="Arial" w:cs="Arial"/>
                <w:i/>
              </w:rPr>
            </w:pPr>
            <w:r w:rsidRPr="00A112A9">
              <w:rPr>
                <w:rFonts w:ascii="Arial" w:hAnsi="Arial" w:cs="Arial"/>
                <w:i/>
              </w:rPr>
              <w:t>Please insert your name and con</w:t>
            </w:r>
            <w:r w:rsidR="00A112A9" w:rsidRPr="00A112A9">
              <w:rPr>
                <w:rFonts w:ascii="Arial" w:hAnsi="Arial" w:cs="Arial"/>
                <w:i/>
              </w:rPr>
              <w:t>tact details (phone number or email address)</w:t>
            </w:r>
          </w:p>
        </w:tc>
      </w:tr>
      <w:tr w:rsidR="00A66116" w:rsidTr="00A112A9">
        <w:tblPrEx>
          <w:tblCellMar>
            <w:top w:w="0" w:type="dxa"/>
            <w:bottom w:w="0" w:type="dxa"/>
          </w:tblCellMar>
        </w:tblPrEx>
        <w:trPr>
          <w:trHeight w:val="238"/>
        </w:trPr>
        <w:tc>
          <w:tcPr>
            <w:tcW w:w="3085" w:type="dxa"/>
          </w:tcPr>
          <w:p w:rsidR="00A66116" w:rsidRPr="00A112A9" w:rsidRDefault="00A112A9" w:rsidP="00A66116">
            <w:pPr>
              <w:rPr>
                <w:rFonts w:ascii="Arial" w:hAnsi="Arial" w:cs="Arial"/>
                <w:b/>
              </w:rPr>
            </w:pPr>
            <w:r w:rsidRPr="00A112A9">
              <w:rPr>
                <w:rFonts w:ascii="Arial" w:hAnsi="Arial" w:cs="Arial"/>
                <w:b/>
              </w:rPr>
              <w:t>Company Name:</w:t>
            </w:r>
          </w:p>
        </w:tc>
        <w:tc>
          <w:tcPr>
            <w:tcW w:w="6480" w:type="dxa"/>
          </w:tcPr>
          <w:p w:rsidR="00A66116" w:rsidRPr="00A112A9" w:rsidRDefault="00A112A9" w:rsidP="00A66116">
            <w:pPr>
              <w:rPr>
                <w:rFonts w:ascii="Arial" w:hAnsi="Arial" w:cs="Arial"/>
                <w:i/>
              </w:rPr>
            </w:pPr>
            <w:r w:rsidRPr="00A112A9">
              <w:rPr>
                <w:rFonts w:ascii="Arial" w:hAnsi="Arial" w:cs="Arial"/>
                <w:i/>
              </w:rPr>
              <w:t>Please insert Company Name</w:t>
            </w:r>
          </w:p>
        </w:tc>
      </w:tr>
      <w:tr w:rsidR="00A66116" w:rsidTr="00A112A9">
        <w:tblPrEx>
          <w:tblCellMar>
            <w:top w:w="0" w:type="dxa"/>
            <w:bottom w:w="0" w:type="dxa"/>
          </w:tblCellMar>
        </w:tblPrEx>
        <w:trPr>
          <w:trHeight w:val="264"/>
        </w:trPr>
        <w:tc>
          <w:tcPr>
            <w:tcW w:w="3085" w:type="dxa"/>
          </w:tcPr>
          <w:p w:rsidR="00A66116" w:rsidRPr="00A112A9" w:rsidRDefault="00A112A9" w:rsidP="00A66116">
            <w:pPr>
              <w:rPr>
                <w:rFonts w:ascii="Arial" w:hAnsi="Arial" w:cs="Arial"/>
                <w:b/>
              </w:rPr>
            </w:pPr>
            <w:r w:rsidRPr="00A112A9">
              <w:rPr>
                <w:rFonts w:ascii="Arial" w:hAnsi="Arial" w:cs="Arial"/>
                <w:b/>
              </w:rPr>
              <w:t>Please express your views regarding the Workgroup Consultation, including rationale.</w:t>
            </w:r>
          </w:p>
          <w:p w:rsidR="00A112A9" w:rsidRPr="00A112A9" w:rsidRDefault="00A112A9" w:rsidP="00A66116">
            <w:pPr>
              <w:rPr>
                <w:rFonts w:ascii="Arial" w:hAnsi="Arial" w:cs="Arial"/>
                <w:b/>
              </w:rPr>
            </w:pPr>
            <w:r w:rsidRPr="00A112A9">
              <w:rPr>
                <w:rFonts w:ascii="Arial" w:hAnsi="Arial" w:cs="Arial"/>
                <w:b/>
              </w:rPr>
              <w:t>(Please include any issues, suggestions or queries)</w:t>
            </w:r>
          </w:p>
        </w:tc>
        <w:tc>
          <w:tcPr>
            <w:tcW w:w="6480" w:type="dxa"/>
          </w:tcPr>
          <w:p w:rsidR="00A112A9" w:rsidRDefault="00A112A9" w:rsidP="00A112A9">
            <w:pPr>
              <w:pStyle w:val="Heading2"/>
              <w:numPr>
                <w:ilvl w:val="0"/>
                <w:numId w:val="0"/>
              </w:numPr>
            </w:pPr>
            <w:r>
              <w:t>For reference, the A</w:t>
            </w:r>
            <w:r>
              <w:t xml:space="preserve">pplicable CUSC objectives are: </w:t>
            </w:r>
          </w:p>
          <w:p w:rsidR="00A112A9" w:rsidRPr="00A112A9" w:rsidRDefault="00A112A9" w:rsidP="00A112A9">
            <w:pPr>
              <w:pStyle w:val="Heading2"/>
              <w:numPr>
                <w:ilvl w:val="0"/>
                <w:numId w:val="0"/>
              </w:numPr>
              <w:rPr>
                <w:rFonts w:cstheme="minorBidi"/>
                <w:b/>
                <w:bCs w:val="0"/>
                <w:iCs w:val="0"/>
                <w:szCs w:val="22"/>
              </w:rPr>
            </w:pPr>
            <w:r w:rsidRPr="00A112A9">
              <w:rPr>
                <w:b/>
              </w:rPr>
              <w:t>U</w:t>
            </w:r>
            <w:r w:rsidRPr="00A112A9">
              <w:rPr>
                <w:b/>
              </w:rPr>
              <w:t>se</w:t>
            </w:r>
            <w:r w:rsidRPr="00A112A9">
              <w:rPr>
                <w:b/>
              </w:rPr>
              <w:t xml:space="preserve"> of System Charging Methodology</w:t>
            </w:r>
          </w:p>
          <w:p w:rsidR="00A112A9" w:rsidRDefault="00A112A9" w:rsidP="00A112A9">
            <w:pPr>
              <w:pStyle w:val="BodyText"/>
              <w:numPr>
                <w:ilvl w:val="0"/>
                <w:numId w:val="2"/>
              </w:numPr>
              <w:rPr>
                <w:rFonts w:cs="Arial"/>
                <w:szCs w:val="22"/>
              </w:rPr>
            </w:pPr>
            <w:r>
              <w:rPr>
                <w:rFonts w:cs="Arial"/>
                <w:szCs w:val="22"/>
              </w:rPr>
              <w:t>That compliance with the use of system charging methodology facilitates effective competition in the generation and supply of electricity and (so far as is consistent therewith) facilitates competition in the sale, distribution and purchase of electricity;</w:t>
            </w:r>
          </w:p>
          <w:p w:rsidR="00A112A9" w:rsidRDefault="00A112A9" w:rsidP="00A112A9">
            <w:pPr>
              <w:pStyle w:val="BodyText"/>
              <w:numPr>
                <w:ilvl w:val="0"/>
                <w:numId w:val="2"/>
              </w:numPr>
              <w:rPr>
                <w:rFonts w:cs="Arial"/>
                <w:szCs w:val="22"/>
              </w:rPr>
            </w:pPr>
            <w:r>
              <w:rPr>
                <w:rFonts w:cs="Arial"/>
                <w:szCs w:val="22"/>
              </w:rPr>
              <w:t>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p>
          <w:p w:rsidR="00A112A9" w:rsidRDefault="00A112A9" w:rsidP="00A112A9">
            <w:pPr>
              <w:pStyle w:val="BodyText"/>
              <w:numPr>
                <w:ilvl w:val="0"/>
                <w:numId w:val="2"/>
              </w:numPr>
              <w:rPr>
                <w:rFonts w:cs="Arial"/>
                <w:szCs w:val="22"/>
              </w:rPr>
            </w:pPr>
            <w:r>
              <w:rPr>
                <w:rFonts w:cs="Arial"/>
                <w:szCs w:val="22"/>
              </w:rPr>
              <w:t xml:space="preserve">That, so far as is consistent with sub-paragraphs (a) and (b), the use of system charging methodology, as far as is reasonably practicable, properly takes account of the developments in transmission licensees’ transmission </w:t>
            </w:r>
            <w:r>
              <w:rPr>
                <w:rFonts w:cs="Arial"/>
                <w:szCs w:val="22"/>
              </w:rPr>
              <w:lastRenderedPageBreak/>
              <w:t>businesses.</w:t>
            </w:r>
          </w:p>
          <w:p w:rsidR="00A66116" w:rsidRPr="00A112A9" w:rsidRDefault="00A112A9" w:rsidP="00A112A9">
            <w:pPr>
              <w:pStyle w:val="BodyText"/>
              <w:numPr>
                <w:ilvl w:val="0"/>
                <w:numId w:val="2"/>
              </w:numPr>
              <w:rPr>
                <w:rFonts w:cs="Arial"/>
                <w:szCs w:val="22"/>
              </w:rPr>
            </w:pPr>
            <w:r w:rsidRPr="00A112A9">
              <w:rPr>
                <w:rFonts w:cs="Arial"/>
                <w:szCs w:val="22"/>
              </w:rPr>
              <w:t>Compliance with the Electricity Regulation and any relevant legally binding decision of the European Commission and/or the Agency.</w:t>
            </w:r>
          </w:p>
        </w:tc>
      </w:tr>
    </w:tbl>
    <w:p w:rsidR="00A112A9" w:rsidRDefault="00A112A9">
      <w:pPr>
        <w:rPr>
          <w:rFonts w:ascii="Arial" w:hAnsi="Arial" w:cs="Arial"/>
        </w:rPr>
      </w:pPr>
    </w:p>
    <w:p w:rsidR="00A112A9" w:rsidRPr="00A112A9" w:rsidRDefault="00A112A9">
      <w:pPr>
        <w:rPr>
          <w:rFonts w:ascii="Arial" w:hAnsi="Arial" w:cs="Arial"/>
          <w:b/>
        </w:rPr>
      </w:pPr>
      <w:r w:rsidRPr="00A112A9">
        <w:rPr>
          <w:rFonts w:ascii="Arial" w:hAnsi="Arial" w:cs="Arial"/>
          <w:b/>
        </w:rPr>
        <w:t>Standard Workgroup Consultation questions</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blPrEx>
          <w:tblCellMar>
            <w:top w:w="0" w:type="dxa"/>
            <w:bottom w:w="0" w:type="dxa"/>
          </w:tblCellMar>
        </w:tblPrEx>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Q</w:t>
            </w:r>
          </w:p>
        </w:tc>
        <w:tc>
          <w:tcPr>
            <w:tcW w:w="2923" w:type="dxa"/>
          </w:tcPr>
          <w:p w:rsidR="00A112A9" w:rsidRPr="00A112A9" w:rsidRDefault="00A112A9" w:rsidP="00A112A9">
            <w:pPr>
              <w:ind w:left="-79"/>
              <w:rPr>
                <w:rFonts w:ascii="Arial" w:hAnsi="Arial" w:cs="Arial"/>
                <w:b/>
              </w:rPr>
            </w:pPr>
            <w:r w:rsidRPr="00A112A9">
              <w:rPr>
                <w:rFonts w:ascii="Arial" w:hAnsi="Arial" w:cs="Arial"/>
                <w:b/>
              </w:rPr>
              <w:t>Question</w:t>
            </w:r>
          </w:p>
        </w:tc>
        <w:tc>
          <w:tcPr>
            <w:tcW w:w="5981" w:type="dxa"/>
          </w:tcPr>
          <w:p w:rsidR="00A112A9" w:rsidRPr="00A112A9" w:rsidRDefault="00A112A9" w:rsidP="00A112A9">
            <w:pPr>
              <w:ind w:left="-79"/>
              <w:rPr>
                <w:rFonts w:ascii="Arial" w:hAnsi="Arial" w:cs="Arial"/>
                <w:b/>
              </w:rPr>
            </w:pPr>
            <w:r w:rsidRPr="00A112A9">
              <w:rPr>
                <w:rFonts w:ascii="Arial" w:hAnsi="Arial" w:cs="Arial"/>
                <w:b/>
              </w:rPr>
              <w:t>Response</w:t>
            </w:r>
          </w:p>
        </w:tc>
      </w:tr>
      <w:tr w:rsidR="00A112A9" w:rsidTr="00A112A9">
        <w:tblPrEx>
          <w:tblCellMar>
            <w:top w:w="0" w:type="dxa"/>
            <w:bottom w:w="0" w:type="dxa"/>
          </w:tblCellMar>
        </w:tblPrEx>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1</w:t>
            </w:r>
          </w:p>
        </w:tc>
        <w:tc>
          <w:tcPr>
            <w:tcW w:w="2923" w:type="dxa"/>
          </w:tcPr>
          <w:p w:rsidR="00A112A9" w:rsidRDefault="00A112A9" w:rsidP="00A112A9">
            <w:pPr>
              <w:ind w:left="-79"/>
              <w:rPr>
                <w:rFonts w:ascii="Arial" w:hAnsi="Arial" w:cs="Arial"/>
                <w:b/>
              </w:rPr>
            </w:pPr>
            <w:r w:rsidRPr="00A112A9">
              <w:rPr>
                <w:rFonts w:ascii="Arial" w:hAnsi="Arial" w:cs="Arial"/>
                <w:b/>
              </w:rPr>
              <w:t xml:space="preserve">Do you believe that CMP239 Original Proposal or either of the potential options for change better </w:t>
            </w:r>
            <w:proofErr w:type="gramStart"/>
            <w:r w:rsidRPr="00A112A9">
              <w:rPr>
                <w:rFonts w:ascii="Arial" w:hAnsi="Arial" w:cs="Arial"/>
                <w:b/>
              </w:rPr>
              <w:t>facilitate</w:t>
            </w:r>
            <w:proofErr w:type="gramEnd"/>
            <w:r w:rsidRPr="00A112A9">
              <w:rPr>
                <w:rFonts w:ascii="Arial" w:hAnsi="Arial" w:cs="Arial"/>
                <w:b/>
              </w:rPr>
              <w:t xml:space="preserve"> the Applicable CUSC Objectives? Please state which ones and why.</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blPrEx>
          <w:tblCellMar>
            <w:top w:w="0" w:type="dxa"/>
            <w:bottom w:w="0" w:type="dxa"/>
          </w:tblCellMar>
        </w:tblPrEx>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2</w:t>
            </w:r>
          </w:p>
        </w:tc>
        <w:tc>
          <w:tcPr>
            <w:tcW w:w="2923" w:type="dxa"/>
          </w:tcPr>
          <w:p w:rsidR="00A112A9" w:rsidRDefault="00A112A9" w:rsidP="00A112A9">
            <w:pPr>
              <w:ind w:left="-79"/>
              <w:rPr>
                <w:rFonts w:ascii="Arial" w:hAnsi="Arial" w:cs="Arial"/>
                <w:b/>
              </w:rPr>
            </w:pPr>
            <w:r w:rsidRPr="00A112A9">
              <w:rPr>
                <w:rFonts w:ascii="Arial" w:hAnsi="Arial" w:cs="Arial"/>
                <w:b/>
              </w:rPr>
              <w:t>Do you support the proposed implementation approach?</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blPrEx>
          <w:tblCellMar>
            <w:top w:w="0" w:type="dxa"/>
            <w:bottom w:w="0" w:type="dxa"/>
          </w:tblCellMar>
        </w:tblPrEx>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3</w:t>
            </w:r>
          </w:p>
        </w:tc>
        <w:tc>
          <w:tcPr>
            <w:tcW w:w="2923" w:type="dxa"/>
          </w:tcPr>
          <w:p w:rsidR="00A112A9" w:rsidRDefault="00A112A9" w:rsidP="00A112A9">
            <w:pPr>
              <w:ind w:left="-79"/>
              <w:rPr>
                <w:rFonts w:ascii="Arial" w:hAnsi="Arial" w:cs="Arial"/>
                <w:b/>
              </w:rPr>
            </w:pPr>
            <w:r w:rsidRPr="00A112A9">
              <w:rPr>
                <w:rFonts w:ascii="Arial" w:hAnsi="Arial" w:cs="Arial"/>
                <w:b/>
              </w:rPr>
              <w:t>Do you have any other comments?</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bookmarkStart w:id="1" w:name="_GoBack"/>
            <w:bookmarkEnd w:id="1"/>
          </w:p>
        </w:tc>
      </w:tr>
      <w:tr w:rsidR="00A112A9" w:rsidTr="00A112A9">
        <w:tblPrEx>
          <w:tblCellMar>
            <w:top w:w="0" w:type="dxa"/>
            <w:bottom w:w="0" w:type="dxa"/>
          </w:tblCellMar>
        </w:tblPrEx>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4</w:t>
            </w:r>
          </w:p>
        </w:tc>
        <w:tc>
          <w:tcPr>
            <w:tcW w:w="2923" w:type="dxa"/>
          </w:tcPr>
          <w:p w:rsidR="00A112A9" w:rsidRDefault="00A112A9" w:rsidP="00A112A9">
            <w:pPr>
              <w:ind w:left="-79"/>
              <w:rPr>
                <w:rFonts w:ascii="Arial" w:hAnsi="Arial" w:cs="Arial"/>
                <w:b/>
              </w:rPr>
            </w:pPr>
            <w:r w:rsidRPr="00A112A9">
              <w:rPr>
                <w:rFonts w:ascii="Arial" w:hAnsi="Arial" w:cs="Arial"/>
                <w:b/>
              </w:rPr>
              <w:t>Do you wish to raise a Workgroup Consultation Alternative request for the Workgroup to consider?</w:t>
            </w:r>
          </w:p>
          <w:p w:rsidR="00A112A9" w:rsidRPr="00A112A9" w:rsidRDefault="00A112A9" w:rsidP="00A112A9">
            <w:pPr>
              <w:ind w:left="-79"/>
              <w:rPr>
                <w:rFonts w:ascii="Arial" w:hAnsi="Arial" w:cs="Arial"/>
                <w:b/>
              </w:rPr>
            </w:pPr>
          </w:p>
        </w:tc>
        <w:tc>
          <w:tcPr>
            <w:tcW w:w="5981" w:type="dxa"/>
          </w:tcPr>
          <w:p w:rsidR="00A112A9" w:rsidRPr="00A112A9" w:rsidRDefault="00A112A9" w:rsidP="00A112A9">
            <w:pPr>
              <w:rPr>
                <w:rFonts w:ascii="Arial" w:hAnsi="Arial" w:cs="Arial"/>
                <w:i/>
              </w:rPr>
            </w:pPr>
            <w:r w:rsidRPr="00A112A9">
              <w:rPr>
                <w:rFonts w:ascii="Arial" w:hAnsi="Arial" w:cs="Arial"/>
                <w:i/>
              </w:rPr>
              <w:t>If yes, please complete a WG Consultation Alternative Request form, available on National Grid</w:t>
            </w:r>
            <w:smartTag w:uri="urn:schemas-microsoft-com:office:smarttags" w:element="PersonName">
              <w:r w:rsidRPr="00A112A9">
                <w:rPr>
                  <w:rFonts w:ascii="Arial" w:hAnsi="Arial" w:cs="Arial"/>
                  <w:i/>
                </w:rPr>
                <w:t>'</w:t>
              </w:r>
            </w:smartTag>
            <w:r w:rsidRPr="00A112A9">
              <w:rPr>
                <w:rFonts w:ascii="Arial" w:hAnsi="Arial" w:cs="Arial"/>
                <w:i/>
              </w:rPr>
              <w:t>s website</w:t>
            </w:r>
            <w:r w:rsidRPr="00A112A9">
              <w:rPr>
                <w:rStyle w:val="FootnoteReference"/>
                <w:rFonts w:ascii="Arial" w:hAnsi="Arial" w:cs="Arial"/>
                <w:i/>
              </w:rPr>
              <w:footnoteReference w:id="1"/>
            </w:r>
            <w:r w:rsidRPr="00A112A9">
              <w:rPr>
                <w:rFonts w:ascii="Arial" w:hAnsi="Arial" w:cs="Arial"/>
                <w:i/>
              </w:rPr>
              <w:t xml:space="preserve">, and return to the CUSC inbox at </w:t>
            </w:r>
            <w:hyperlink r:id="rId10" w:history="1">
              <w:r w:rsidRPr="00A112A9">
                <w:rPr>
                  <w:rStyle w:val="Hyperlink"/>
                  <w:rFonts w:ascii="Arial" w:hAnsi="Arial" w:cs="Arial"/>
                  <w:i/>
                </w:rPr>
                <w:t>cusc.team@nationalgrid.com</w:t>
              </w:r>
            </w:hyperlink>
          </w:p>
        </w:tc>
      </w:tr>
    </w:tbl>
    <w:p w:rsidR="00A112A9" w:rsidRDefault="00A112A9">
      <w:pPr>
        <w:rPr>
          <w:rFonts w:ascii="Arial" w:hAnsi="Arial" w:cs="Arial"/>
        </w:rPr>
      </w:pPr>
    </w:p>
    <w:p w:rsidR="00A112A9" w:rsidRPr="00A112A9" w:rsidRDefault="00A112A9">
      <w:pPr>
        <w:rPr>
          <w:rFonts w:ascii="Arial" w:hAnsi="Arial" w:cs="Arial"/>
          <w:b/>
        </w:rPr>
      </w:pPr>
      <w:r w:rsidRPr="00A112A9">
        <w:rPr>
          <w:rFonts w:ascii="Arial" w:hAnsi="Arial" w:cs="Arial"/>
          <w:b/>
        </w:rPr>
        <w:t>Specific questions for CMP239</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blPrEx>
          <w:tblCellMar>
            <w:top w:w="0" w:type="dxa"/>
            <w:bottom w:w="0" w:type="dxa"/>
          </w:tblCellMar>
        </w:tblPrEx>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Q</w:t>
            </w:r>
          </w:p>
        </w:tc>
        <w:tc>
          <w:tcPr>
            <w:tcW w:w="2923" w:type="dxa"/>
          </w:tcPr>
          <w:p w:rsidR="00A112A9" w:rsidRPr="00A112A9" w:rsidRDefault="00A112A9" w:rsidP="007C07C4">
            <w:pPr>
              <w:ind w:left="-79"/>
              <w:rPr>
                <w:rFonts w:ascii="Arial" w:hAnsi="Arial" w:cs="Arial"/>
                <w:b/>
              </w:rPr>
            </w:pPr>
            <w:r w:rsidRPr="00A112A9">
              <w:rPr>
                <w:rFonts w:ascii="Arial" w:hAnsi="Arial" w:cs="Arial"/>
                <w:b/>
              </w:rPr>
              <w:t>Question</w:t>
            </w:r>
          </w:p>
        </w:tc>
        <w:tc>
          <w:tcPr>
            <w:tcW w:w="5981" w:type="dxa"/>
          </w:tcPr>
          <w:p w:rsidR="00A112A9" w:rsidRPr="00A112A9" w:rsidRDefault="00A112A9" w:rsidP="007C07C4">
            <w:pPr>
              <w:ind w:left="-79"/>
              <w:rPr>
                <w:rFonts w:ascii="Arial" w:hAnsi="Arial" w:cs="Arial"/>
                <w:b/>
              </w:rPr>
            </w:pPr>
            <w:r w:rsidRPr="00A112A9">
              <w:rPr>
                <w:rFonts w:ascii="Arial" w:hAnsi="Arial" w:cs="Arial"/>
                <w:b/>
              </w:rPr>
              <w:t>Response</w:t>
            </w:r>
          </w:p>
        </w:tc>
      </w:tr>
      <w:tr w:rsidR="00A112A9" w:rsidTr="00A112A9">
        <w:tblPrEx>
          <w:tblCellMar>
            <w:top w:w="0" w:type="dxa"/>
            <w:bottom w:w="0" w:type="dxa"/>
          </w:tblCellMar>
        </w:tblPrEx>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5</w:t>
            </w:r>
          </w:p>
        </w:tc>
        <w:tc>
          <w:tcPr>
            <w:tcW w:w="2923" w:type="dxa"/>
          </w:tcPr>
          <w:p w:rsidR="00A112A9" w:rsidRPr="00A112A9" w:rsidRDefault="00A112A9" w:rsidP="00A112A9">
            <w:pPr>
              <w:ind w:left="-79"/>
              <w:rPr>
                <w:rFonts w:ascii="Arial" w:hAnsi="Arial" w:cs="Arial"/>
                <w:b/>
              </w:rPr>
            </w:pPr>
            <w:r w:rsidRPr="00A112A9">
              <w:rPr>
                <w:rFonts w:ascii="Arial" w:hAnsi="Arial" w:cs="Arial"/>
                <w:b/>
              </w:rPr>
              <w:t>Can you think of any explicit types of grandfathering within the Industry? If yes, please provide examples.</w:t>
            </w:r>
          </w:p>
        </w:tc>
        <w:tc>
          <w:tcPr>
            <w:tcW w:w="5981" w:type="dxa"/>
          </w:tcPr>
          <w:p w:rsidR="00A112A9" w:rsidRDefault="00A112A9" w:rsidP="007C07C4">
            <w:pPr>
              <w:ind w:left="-79"/>
              <w:rPr>
                <w:rFonts w:ascii="Arial" w:hAnsi="Arial" w:cs="Arial"/>
              </w:rPr>
            </w:pPr>
          </w:p>
        </w:tc>
      </w:tr>
      <w:tr w:rsidR="00A112A9" w:rsidTr="00A112A9">
        <w:tblPrEx>
          <w:tblCellMar>
            <w:top w:w="0" w:type="dxa"/>
            <w:bottom w:w="0" w:type="dxa"/>
          </w:tblCellMar>
        </w:tblPrEx>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6</w:t>
            </w:r>
          </w:p>
        </w:tc>
        <w:tc>
          <w:tcPr>
            <w:tcW w:w="2923" w:type="dxa"/>
          </w:tcPr>
          <w:p w:rsidR="00A112A9" w:rsidRPr="00A112A9" w:rsidRDefault="00A112A9" w:rsidP="007C07C4">
            <w:pPr>
              <w:ind w:left="-79"/>
              <w:rPr>
                <w:rFonts w:ascii="Arial" w:hAnsi="Arial" w:cs="Arial"/>
                <w:b/>
              </w:rPr>
            </w:pPr>
            <w:r w:rsidRPr="00A112A9">
              <w:rPr>
                <w:rFonts w:ascii="Arial" w:hAnsi="Arial" w:cs="Arial"/>
                <w:b/>
              </w:rPr>
              <w:t>Do you feel that there will be any precedential implications of introducing grandfathering arrangements to the CUSC?</w:t>
            </w:r>
          </w:p>
          <w:p w:rsidR="00A112A9" w:rsidRPr="00A112A9" w:rsidRDefault="00A112A9" w:rsidP="007C07C4">
            <w:pPr>
              <w:ind w:left="-79"/>
              <w:rPr>
                <w:rFonts w:ascii="Arial" w:hAnsi="Arial" w:cs="Arial"/>
                <w:b/>
              </w:rPr>
            </w:pPr>
          </w:p>
        </w:tc>
        <w:tc>
          <w:tcPr>
            <w:tcW w:w="5981" w:type="dxa"/>
          </w:tcPr>
          <w:p w:rsidR="00A112A9" w:rsidRDefault="00A112A9" w:rsidP="007C07C4">
            <w:pPr>
              <w:ind w:left="-79"/>
              <w:rPr>
                <w:rFonts w:ascii="Arial" w:hAnsi="Arial" w:cs="Arial"/>
              </w:rPr>
            </w:pPr>
          </w:p>
        </w:tc>
      </w:tr>
      <w:tr w:rsidR="00A112A9" w:rsidTr="00A112A9">
        <w:tblPrEx>
          <w:tblCellMar>
            <w:top w:w="0" w:type="dxa"/>
            <w:bottom w:w="0" w:type="dxa"/>
          </w:tblCellMar>
        </w:tblPrEx>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7</w:t>
            </w:r>
          </w:p>
        </w:tc>
        <w:tc>
          <w:tcPr>
            <w:tcW w:w="2923" w:type="dxa"/>
          </w:tcPr>
          <w:p w:rsidR="00A112A9" w:rsidRPr="00A112A9" w:rsidRDefault="00A112A9" w:rsidP="007C07C4">
            <w:pPr>
              <w:ind w:left="-79"/>
              <w:rPr>
                <w:rFonts w:ascii="Arial" w:hAnsi="Arial" w:cs="Arial"/>
                <w:b/>
              </w:rPr>
            </w:pPr>
            <w:r w:rsidRPr="00A112A9">
              <w:rPr>
                <w:rFonts w:ascii="Arial" w:hAnsi="Arial" w:cs="Arial"/>
                <w:b/>
              </w:rPr>
              <w:t>Do you feel that the small generator discount is material on demand customers? If yes, please provide details.</w:t>
            </w:r>
          </w:p>
          <w:p w:rsidR="00A112A9" w:rsidRPr="00A112A9" w:rsidRDefault="00A112A9" w:rsidP="007C07C4">
            <w:pPr>
              <w:ind w:left="-79"/>
              <w:rPr>
                <w:rFonts w:ascii="Arial" w:hAnsi="Arial" w:cs="Arial"/>
                <w:b/>
              </w:rPr>
            </w:pPr>
          </w:p>
        </w:tc>
        <w:tc>
          <w:tcPr>
            <w:tcW w:w="5981" w:type="dxa"/>
          </w:tcPr>
          <w:p w:rsidR="00A112A9" w:rsidRDefault="00A112A9" w:rsidP="00A112A9">
            <w:pPr>
              <w:ind w:left="-79"/>
              <w:rPr>
                <w:rFonts w:ascii="Arial" w:hAnsi="Arial" w:cs="Arial"/>
              </w:rPr>
            </w:pPr>
          </w:p>
        </w:tc>
      </w:tr>
    </w:tbl>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Pr="00A66116" w:rsidRDefault="00A112A9">
      <w:pPr>
        <w:rPr>
          <w:rFonts w:ascii="Arial" w:hAnsi="Arial" w:cs="Arial"/>
        </w:rPr>
      </w:pPr>
    </w:p>
    <w:sectPr w:rsidR="00A112A9" w:rsidRPr="00A66116" w:rsidSect="00A661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A9" w:rsidRDefault="00A112A9" w:rsidP="00A112A9">
      <w:pPr>
        <w:spacing w:after="0" w:line="240" w:lineRule="auto"/>
      </w:pPr>
      <w:r>
        <w:separator/>
      </w:r>
    </w:p>
  </w:endnote>
  <w:endnote w:type="continuationSeparator" w:id="0">
    <w:p w:rsidR="00A112A9" w:rsidRDefault="00A112A9" w:rsidP="00A1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A9" w:rsidRDefault="00A112A9" w:rsidP="00A112A9">
      <w:pPr>
        <w:spacing w:after="0" w:line="240" w:lineRule="auto"/>
      </w:pPr>
      <w:r>
        <w:separator/>
      </w:r>
    </w:p>
  </w:footnote>
  <w:footnote w:type="continuationSeparator" w:id="0">
    <w:p w:rsidR="00A112A9" w:rsidRDefault="00A112A9" w:rsidP="00A112A9">
      <w:pPr>
        <w:spacing w:after="0" w:line="240" w:lineRule="auto"/>
      </w:pPr>
      <w:r>
        <w:continuationSeparator/>
      </w:r>
    </w:p>
  </w:footnote>
  <w:footnote w:id="1">
    <w:p w:rsidR="00A112A9" w:rsidRPr="002368F6" w:rsidRDefault="00A112A9" w:rsidP="00A112A9">
      <w:pPr>
        <w:pStyle w:val="FootnoteText"/>
      </w:pPr>
      <w:r>
        <w:rPr>
          <w:rStyle w:val="FootnoteReference"/>
        </w:rPr>
        <w:footnoteRef/>
      </w:r>
      <w:r>
        <w:t xml:space="preserve"> </w:t>
      </w:r>
      <w:hyperlink r:id="rId1" w:history="1">
        <w:r w:rsidRPr="00D71A5C">
          <w:rPr>
            <w:rStyle w:val="Hyperlink"/>
          </w:rPr>
          <w:t>http://www.nationalgrid.com/uk/Electricity/Codes/systemcode/amendments/forms_guidance/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CBA5A40"/>
    <w:multiLevelType w:val="hybridMultilevel"/>
    <w:tmpl w:val="66CC2A26"/>
    <w:lvl w:ilvl="0" w:tplc="BB4A9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6"/>
    <w:rsid w:val="002B6158"/>
    <w:rsid w:val="00A112A9"/>
    <w:rsid w:val="00A6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sc.team@nationalgrid.com" TargetMode="External"/><Relationship Id="rId4" Type="http://schemas.openxmlformats.org/officeDocument/2006/relationships/settings" Target="settings.xml"/><Relationship Id="rId9" Type="http://schemas.openxmlformats.org/officeDocument/2006/relationships/hyperlink" Target="mailto:jade.clarke@nationalgri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grid.com/uk/Electricity/Codes/systemcode/amendments/forms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530</Words>
  <Characters>3022</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CUSC Workgroup Consultation Response Proforma</vt:lpstr>
    </vt:vector>
  </TitlesOfParts>
  <Company>National Grid</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Elizabeth Clarke</dc:creator>
  <cp:lastModifiedBy>Jade Elizabeth Clarke</cp:lastModifiedBy>
  <cp:revision>1</cp:revision>
  <dcterms:created xsi:type="dcterms:W3CDTF">2015-02-19T09:51:00Z</dcterms:created>
  <dcterms:modified xsi:type="dcterms:W3CDTF">2015-02-19T10:50:00Z</dcterms:modified>
</cp:coreProperties>
</file>