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ACE0C" w14:textId="644414FD" w:rsidR="000E1DE7" w:rsidRDefault="00340AAA" w:rsidP="00394FD8">
      <w:pPr>
        <w:pStyle w:val="DocumentTitle"/>
        <w:framePr w:w="9801" w:wrap="notBeside" w:x="1096" w:y="2341"/>
        <w:jc w:val="both"/>
        <w:rPr>
          <w:rFonts w:ascii="Poppins" w:hAnsi="Poppins" w:cs="Poppins"/>
          <w:color w:val="auto"/>
        </w:rPr>
      </w:pPr>
      <w:r>
        <w:rPr>
          <w:rFonts w:ascii="Poppins" w:hAnsi="Poppins" w:cs="Poppins"/>
          <w:color w:val="auto"/>
        </w:rPr>
        <w:t>Industry Expert Panel</w:t>
      </w:r>
      <w:r w:rsidR="00B73B22">
        <w:rPr>
          <w:rFonts w:ascii="Poppins" w:hAnsi="Poppins" w:cs="Poppins"/>
          <w:color w:val="auto"/>
        </w:rPr>
        <w:t xml:space="preserve"> </w:t>
      </w:r>
      <w:r>
        <w:rPr>
          <w:rFonts w:ascii="Poppins" w:hAnsi="Poppins" w:cs="Poppins"/>
          <w:color w:val="auto"/>
        </w:rPr>
        <w:t>Summary</w:t>
      </w:r>
    </w:p>
    <w:p w14:paraId="0791CAB1" w14:textId="6F46D937" w:rsidR="000E1DE7" w:rsidRPr="007619FB" w:rsidRDefault="00340AAA" w:rsidP="00835489">
      <w:pPr>
        <w:pStyle w:val="Heading1"/>
        <w:rPr>
          <w:rFonts w:cs="Poppins"/>
        </w:rPr>
      </w:pPr>
      <w:r>
        <w:rPr>
          <w:rFonts w:cs="Poppins"/>
        </w:rPr>
        <w:t>Meeting held Tuesday 8</w:t>
      </w:r>
      <w:r w:rsidRPr="00340AAA">
        <w:rPr>
          <w:rFonts w:cs="Poppins"/>
          <w:vertAlign w:val="superscript"/>
        </w:rPr>
        <w:t>th</w:t>
      </w:r>
      <w:r>
        <w:rPr>
          <w:rFonts w:cs="Poppins"/>
        </w:rPr>
        <w:t xml:space="preserve"> September</w:t>
      </w:r>
      <w:r w:rsidR="00C13EEC">
        <w:rPr>
          <w:rFonts w:cs="Poppins"/>
        </w:rPr>
        <w:t xml:space="preserve"> 2026</w:t>
      </w:r>
    </w:p>
    <w:p w14:paraId="464C0EE0" w14:textId="466C4660" w:rsidR="008E2861" w:rsidRDefault="008E2861" w:rsidP="00835489">
      <w:pPr>
        <w:pStyle w:val="BodyText"/>
        <w:rPr>
          <w:rFonts w:cs="Poppins"/>
        </w:rPr>
      </w:pPr>
      <w:r w:rsidRPr="008E2861">
        <w:rPr>
          <w:rFonts w:cs="Poppins"/>
        </w:rPr>
        <w:t>IEP 5 provided</w:t>
      </w:r>
      <w:r w:rsidR="00204F4C">
        <w:rPr>
          <w:rFonts w:cs="Poppins"/>
        </w:rPr>
        <w:t xml:space="preserve"> members with</w:t>
      </w:r>
      <w:r w:rsidRPr="008E2861">
        <w:rPr>
          <w:rFonts w:cs="Poppins"/>
        </w:rPr>
        <w:t xml:space="preserve"> an update on the current development of the Package 1 policy designs, the Cost-Benefit Analysis (CBA) and implementation planning. This paper summarises the discussions held during the meeting.</w:t>
      </w:r>
      <w:r>
        <w:rPr>
          <w:rFonts w:cs="Poppins"/>
        </w:rPr>
        <w:t xml:space="preserve"> </w:t>
      </w:r>
    </w:p>
    <w:p w14:paraId="63D312C7" w14:textId="69BABD7E" w:rsidR="006958D7" w:rsidRDefault="002D3980" w:rsidP="00835489">
      <w:pPr>
        <w:pStyle w:val="Heading1"/>
        <w:rPr>
          <w:rFonts w:cs="Poppins"/>
        </w:rPr>
      </w:pPr>
      <w:r>
        <w:rPr>
          <w:rFonts w:cs="Poppins"/>
        </w:rPr>
        <w:t>Lower B</w:t>
      </w:r>
      <w:r w:rsidR="00044183">
        <w:rPr>
          <w:rFonts w:cs="Poppins"/>
        </w:rPr>
        <w:t>ala</w:t>
      </w:r>
      <w:r w:rsidR="00F53025">
        <w:rPr>
          <w:rFonts w:cs="Poppins"/>
        </w:rPr>
        <w:t>ncing Mechanism (</w:t>
      </w:r>
      <w:r>
        <w:rPr>
          <w:rFonts w:cs="Poppins"/>
        </w:rPr>
        <w:t>BM</w:t>
      </w:r>
      <w:r w:rsidR="00F53025">
        <w:rPr>
          <w:rFonts w:cs="Poppins"/>
        </w:rPr>
        <w:t>)</w:t>
      </w:r>
      <w:r w:rsidR="00E75E84">
        <w:rPr>
          <w:rFonts w:cs="Poppins"/>
        </w:rPr>
        <w:t xml:space="preserve"> threshold</w:t>
      </w:r>
      <w:r w:rsidR="008E2861">
        <w:rPr>
          <w:rFonts w:cs="Poppins"/>
        </w:rPr>
        <w:t xml:space="preserve"> </w:t>
      </w:r>
      <w:r w:rsidR="006958D7">
        <w:rPr>
          <w:rFonts w:cs="Poppins"/>
        </w:rPr>
        <w:t xml:space="preserve">discussion </w:t>
      </w:r>
    </w:p>
    <w:p w14:paraId="57FE62F7" w14:textId="77511CB6" w:rsidR="003800A0" w:rsidRPr="003800A0" w:rsidRDefault="00AB768B" w:rsidP="00835489">
      <w:pPr>
        <w:pStyle w:val="BodyText"/>
        <w:rPr>
          <w:rFonts w:cs="Poppins"/>
          <w:b/>
          <w:bCs/>
        </w:rPr>
      </w:pPr>
      <w:r>
        <w:rPr>
          <w:rFonts w:cs="Poppins"/>
          <w:b/>
          <w:bCs/>
        </w:rPr>
        <w:t>Policy design</w:t>
      </w:r>
    </w:p>
    <w:p w14:paraId="7D23432B" w14:textId="2058F980" w:rsidR="003800A0" w:rsidRDefault="003800A0" w:rsidP="00835489">
      <w:pPr>
        <w:pStyle w:val="BodyText"/>
        <w:numPr>
          <w:ilvl w:val="0"/>
          <w:numId w:val="26"/>
        </w:numPr>
      </w:pPr>
      <w:r>
        <w:t>The proposed design introduces a graduated framework for Lower BM participation, with different requirements applying depending on asset size and status</w:t>
      </w:r>
      <w:r w:rsidR="00315F1A">
        <w:t>, as seen in the table below</w:t>
      </w:r>
      <w:r>
        <w:t>.</w:t>
      </w:r>
    </w:p>
    <w:p w14:paraId="629AB204" w14:textId="2E73B1C0" w:rsidR="003800A0" w:rsidRDefault="008E5C96" w:rsidP="00835489">
      <w:pPr>
        <w:pStyle w:val="BodyText"/>
        <w:numPr>
          <w:ilvl w:val="0"/>
          <w:numId w:val="26"/>
        </w:numPr>
      </w:pPr>
      <w:r>
        <w:t>A f</w:t>
      </w:r>
      <w:r w:rsidR="003800A0">
        <w:t>ull participation would require submission of Physical Notifications (PNs), Bids and Offers, dynamic parameters and operational metering data.</w:t>
      </w:r>
    </w:p>
    <w:p w14:paraId="3087BB2F" w14:textId="040395AE" w:rsidR="003800A0" w:rsidRDefault="00167222" w:rsidP="00835489">
      <w:pPr>
        <w:pStyle w:val="BodyText"/>
        <w:numPr>
          <w:ilvl w:val="0"/>
          <w:numId w:val="26"/>
        </w:numPr>
      </w:pPr>
      <w:r>
        <w:t>In addition, a</w:t>
      </w:r>
      <w:r w:rsidR="003800A0">
        <w:t xml:space="preserve"> visibility-only route is proposed for certain smaller generation assets, requiring operational metering and PNs</w:t>
      </w:r>
      <w:r>
        <w:t>,</w:t>
      </w:r>
      <w:r w:rsidR="003800A0">
        <w:t xml:space="preserve"> but not full BM participation.</w:t>
      </w:r>
    </w:p>
    <w:p w14:paraId="3E29753B" w14:textId="72EA04C5" w:rsidR="00A665AF" w:rsidRDefault="00A665AF" w:rsidP="00835489">
      <w:pPr>
        <w:pStyle w:val="BodyText"/>
        <w:numPr>
          <w:ilvl w:val="0"/>
          <w:numId w:val="26"/>
        </w:numPr>
      </w:pPr>
      <w:r>
        <w:t xml:space="preserve">The updated policy design for Lower BM threshold presented </w:t>
      </w:r>
      <w:r w:rsidR="006851E1">
        <w:t xml:space="preserve">and discussed with </w:t>
      </w:r>
      <w:r>
        <w:t>the IEP follows on the next Table.</w:t>
      </w:r>
      <w:r w:rsidR="006851E1">
        <w:t xml:space="preserve"> </w:t>
      </w:r>
    </w:p>
    <w:tbl>
      <w:tblPr>
        <w:tblW w:w="9488" w:type="dxa"/>
        <w:tblCellMar>
          <w:left w:w="0" w:type="dxa"/>
          <w:right w:w="0" w:type="dxa"/>
        </w:tblCellMar>
        <w:tblLook w:val="04A0" w:firstRow="1" w:lastRow="0" w:firstColumn="1" w:lastColumn="0" w:noHBand="0" w:noVBand="1"/>
      </w:tblPr>
      <w:tblGrid>
        <w:gridCol w:w="1559"/>
        <w:gridCol w:w="2642"/>
        <w:gridCol w:w="2509"/>
        <w:gridCol w:w="2778"/>
      </w:tblGrid>
      <w:tr w:rsidR="00D01B47" w:rsidRPr="000652EE" w14:paraId="14FEFC31" w14:textId="77777777" w:rsidTr="53AFA2D0">
        <w:trPr>
          <w:trHeight w:val="48"/>
        </w:trPr>
        <w:tc>
          <w:tcPr>
            <w:tcW w:w="9488" w:type="dxa"/>
            <w:gridSpan w:val="4"/>
            <w:shd w:val="clear" w:color="auto" w:fill="7A3864" w:themeFill="accent2"/>
            <w:tcMar>
              <w:top w:w="15" w:type="dxa"/>
              <w:left w:w="108" w:type="dxa"/>
              <w:bottom w:w="0" w:type="dxa"/>
              <w:right w:w="108" w:type="dxa"/>
            </w:tcMar>
          </w:tcPr>
          <w:p w14:paraId="7BAC1DC5" w14:textId="77777777" w:rsidR="00D01B47" w:rsidRPr="000652EE" w:rsidRDefault="00D01B47">
            <w:pPr>
              <w:spacing w:after="120" w:line="240" w:lineRule="auto"/>
              <w:jc w:val="center"/>
              <w:rPr>
                <w:rFonts w:ascii="Poppins" w:eastAsia="MS Mincho" w:hAnsi="Poppins" w:cs="Poppins"/>
                <w:b/>
                <w:color w:val="FFFFFF"/>
                <w:kern w:val="24"/>
                <w:sz w:val="20"/>
                <w:szCs w:val="20"/>
                <w:lang w:eastAsia="en-GB"/>
                <w14:ligatures w14:val="none"/>
              </w:rPr>
            </w:pPr>
            <w:r w:rsidRPr="000652EE">
              <w:rPr>
                <w:rFonts w:ascii="Poppins" w:eastAsia="MS Mincho" w:hAnsi="Poppins" w:cs="Poppins"/>
                <w:b/>
                <w:color w:val="FFFFFF"/>
                <w:sz w:val="20"/>
                <w:szCs w:val="20"/>
                <w:lang w:eastAsia="en-GB"/>
              </w:rPr>
              <w:t>Proposed Lower BM Threshold Policy Design</w:t>
            </w:r>
          </w:p>
        </w:tc>
      </w:tr>
      <w:tr w:rsidR="00D01B47" w:rsidRPr="000652EE" w14:paraId="790CD725" w14:textId="77777777" w:rsidTr="53AFA2D0">
        <w:trPr>
          <w:trHeight w:val="1480"/>
        </w:trPr>
        <w:tc>
          <w:tcPr>
            <w:tcW w:w="1559" w:type="dxa"/>
            <w:tcBorders>
              <w:left w:val="single" w:sz="8" w:space="0" w:color="FFFFFF" w:themeColor="background1"/>
              <w:bottom w:val="single" w:sz="24" w:space="0" w:color="FFFFFF" w:themeColor="background1"/>
              <w:right w:val="single" w:sz="8" w:space="0" w:color="FFFFFF" w:themeColor="background1"/>
              <w:tl2br w:val="single" w:sz="8" w:space="0" w:color="000000"/>
            </w:tcBorders>
            <w:shd w:val="clear" w:color="auto" w:fill="7A3864" w:themeFill="accent2"/>
            <w:tcMar>
              <w:top w:w="15" w:type="dxa"/>
              <w:left w:w="108" w:type="dxa"/>
              <w:bottom w:w="0" w:type="dxa"/>
              <w:right w:w="108" w:type="dxa"/>
            </w:tcMar>
            <w:hideMark/>
          </w:tcPr>
          <w:p w14:paraId="151D8D64" w14:textId="77777777" w:rsidR="00D01B47" w:rsidRPr="000652EE" w:rsidRDefault="00D01B47">
            <w:pPr>
              <w:spacing w:after="120" w:line="240" w:lineRule="auto"/>
              <w:jc w:val="right"/>
              <w:rPr>
                <w:rFonts w:ascii="Poppins" w:eastAsia="Times New Roman" w:hAnsi="Poppins" w:cs="Poppins"/>
                <w:b/>
                <w:color w:val="FFFFFF"/>
                <w:kern w:val="24"/>
                <w:sz w:val="16"/>
                <w:szCs w:val="16"/>
                <w:lang w:eastAsia="en-GB"/>
                <w14:ligatures w14:val="none"/>
              </w:rPr>
            </w:pPr>
            <w:r w:rsidRPr="000652EE">
              <w:rPr>
                <w:rFonts w:ascii="Poppins" w:eastAsia="Times New Roman" w:hAnsi="Poppins" w:cs="Poppins"/>
                <w:b/>
                <w:color w:val="FFFFFF"/>
                <w:kern w:val="24"/>
                <w:sz w:val="16"/>
                <w:szCs w:val="16"/>
                <w:lang w:eastAsia="en-GB"/>
                <w14:ligatures w14:val="none"/>
              </w:rPr>
              <w:t>Participation tiers</w:t>
            </w:r>
          </w:p>
          <w:p w14:paraId="29C5E18A" w14:textId="77777777" w:rsidR="00D01B47" w:rsidRPr="000652EE" w:rsidRDefault="00D01B47">
            <w:pPr>
              <w:spacing w:after="120" w:line="240" w:lineRule="auto"/>
              <w:rPr>
                <w:rFonts w:ascii="Arial" w:eastAsia="Times New Roman" w:hAnsi="Arial" w:cs="Arial"/>
                <w:kern w:val="0"/>
                <w:sz w:val="16"/>
                <w:szCs w:val="16"/>
                <w:lang w:eastAsia="en-GB"/>
                <w14:ligatures w14:val="none"/>
              </w:rPr>
            </w:pPr>
          </w:p>
          <w:p w14:paraId="276A250E" w14:textId="77777777" w:rsidR="00D01B47" w:rsidRPr="000652EE" w:rsidRDefault="00D01B47">
            <w:pPr>
              <w:spacing w:after="120" w:line="240" w:lineRule="auto"/>
              <w:rPr>
                <w:rFonts w:ascii="Arial" w:eastAsia="Times New Roman" w:hAnsi="Arial" w:cs="Arial"/>
                <w:kern w:val="0"/>
                <w:sz w:val="16"/>
                <w:szCs w:val="16"/>
                <w:lang w:eastAsia="en-GB"/>
                <w14:ligatures w14:val="none"/>
              </w:rPr>
            </w:pPr>
          </w:p>
          <w:p w14:paraId="2E1C4D39" w14:textId="77777777" w:rsidR="00D01B47" w:rsidRPr="000652EE" w:rsidRDefault="00D01B47">
            <w:pPr>
              <w:spacing w:after="120" w:line="240" w:lineRule="auto"/>
              <w:rPr>
                <w:rFonts w:ascii="Arial" w:eastAsia="Times New Roman" w:hAnsi="Arial" w:cs="Arial"/>
                <w:kern w:val="0"/>
                <w:sz w:val="16"/>
                <w:szCs w:val="16"/>
                <w:lang w:eastAsia="en-GB"/>
                <w14:ligatures w14:val="none"/>
              </w:rPr>
            </w:pPr>
            <w:r w:rsidRPr="000652EE">
              <w:rPr>
                <w:rFonts w:ascii="Poppins" w:eastAsia="MS Mincho" w:hAnsi="Poppins" w:cs="Poppins"/>
                <w:b/>
                <w:color w:val="FFFFFF"/>
                <w:kern w:val="24"/>
                <w:sz w:val="16"/>
                <w:szCs w:val="16"/>
                <w:lang w:eastAsia="en-GB"/>
                <w14:ligatures w14:val="none"/>
              </w:rPr>
              <w:t>Feature</w:t>
            </w:r>
          </w:p>
        </w:tc>
        <w:tc>
          <w:tcPr>
            <w:tcW w:w="2642" w:type="dxa"/>
            <w:tcBorders>
              <w:left w:val="single" w:sz="8" w:space="0" w:color="FFFFFF" w:themeColor="background1"/>
              <w:bottom w:val="single" w:sz="24" w:space="0" w:color="FFFFFF" w:themeColor="background1"/>
              <w:right w:val="single" w:sz="8" w:space="0" w:color="FFFFFF" w:themeColor="background1"/>
            </w:tcBorders>
            <w:shd w:val="clear" w:color="auto" w:fill="7A3864" w:themeFill="accent2"/>
            <w:tcMar>
              <w:top w:w="15" w:type="dxa"/>
              <w:left w:w="108" w:type="dxa"/>
              <w:bottom w:w="0" w:type="dxa"/>
              <w:right w:w="108" w:type="dxa"/>
            </w:tcMar>
            <w:hideMark/>
          </w:tcPr>
          <w:p w14:paraId="0ECB53F5" w14:textId="77777777" w:rsidR="00D01B47" w:rsidRPr="000652EE" w:rsidRDefault="00D01B47">
            <w:pPr>
              <w:spacing w:after="120" w:line="240" w:lineRule="auto"/>
              <w:jc w:val="center"/>
              <w:rPr>
                <w:rFonts w:ascii="Arial" w:eastAsia="Times New Roman" w:hAnsi="Arial" w:cs="Arial"/>
                <w:kern w:val="0"/>
                <w:sz w:val="16"/>
                <w:szCs w:val="16"/>
                <w:lang w:eastAsia="en-GB"/>
                <w14:ligatures w14:val="none"/>
              </w:rPr>
            </w:pPr>
            <w:r w:rsidRPr="000652EE">
              <w:rPr>
                <w:rFonts w:ascii="Poppins" w:eastAsia="Times New Roman" w:hAnsi="Poppins" w:cs="Poppins"/>
                <w:b/>
                <w:color w:val="FFFFFF"/>
                <w:kern w:val="24"/>
                <w:sz w:val="16"/>
                <w:szCs w:val="16"/>
                <w:lang w:eastAsia="en-GB"/>
                <w14:ligatures w14:val="none"/>
              </w:rPr>
              <w:t> Retrospective application</w:t>
            </w:r>
          </w:p>
          <w:p w14:paraId="2960A616" w14:textId="77777777" w:rsidR="00D01B47" w:rsidRPr="000652EE" w:rsidRDefault="00D01B47">
            <w:pPr>
              <w:spacing w:after="120" w:line="240" w:lineRule="auto"/>
              <w:jc w:val="center"/>
              <w:rPr>
                <w:rFonts w:ascii="Arial" w:eastAsia="Times New Roman" w:hAnsi="Arial" w:cs="Arial"/>
                <w:kern w:val="0"/>
                <w:sz w:val="16"/>
                <w:szCs w:val="16"/>
                <w:lang w:eastAsia="en-GB"/>
                <w14:ligatures w14:val="none"/>
              </w:rPr>
            </w:pPr>
            <w:r w:rsidRPr="53AFA2D0">
              <w:rPr>
                <w:rFonts w:ascii="Poppins" w:eastAsia="MS Mincho" w:hAnsi="Poppins" w:cs="Poppins"/>
                <w:i/>
                <w:color w:val="FFFFFF"/>
                <w:kern w:val="24"/>
                <w:sz w:val="14"/>
                <w:szCs w:val="14"/>
                <w:lang w:eastAsia="en-GB"/>
                <w14:ligatures w14:val="none"/>
              </w:rPr>
              <w:t>Existing assets above the specified threshold would be required to comply with the new BM participation requirements after implementation</w:t>
            </w:r>
          </w:p>
        </w:tc>
        <w:tc>
          <w:tcPr>
            <w:tcW w:w="2509" w:type="dxa"/>
            <w:tcBorders>
              <w:left w:val="single" w:sz="8" w:space="0" w:color="FFFFFF" w:themeColor="background1"/>
              <w:bottom w:val="single" w:sz="24" w:space="0" w:color="FFFFFF" w:themeColor="background1"/>
              <w:right w:val="single" w:sz="8" w:space="0" w:color="FFFFFF" w:themeColor="background1"/>
            </w:tcBorders>
            <w:shd w:val="clear" w:color="auto" w:fill="7A3864" w:themeFill="accent2"/>
            <w:tcMar>
              <w:top w:w="15" w:type="dxa"/>
              <w:left w:w="108" w:type="dxa"/>
              <w:bottom w:w="0" w:type="dxa"/>
              <w:right w:w="108" w:type="dxa"/>
            </w:tcMar>
            <w:hideMark/>
          </w:tcPr>
          <w:p w14:paraId="7BD069CA" w14:textId="77777777" w:rsidR="00D01B47" w:rsidRPr="000652EE" w:rsidRDefault="00D01B47">
            <w:pPr>
              <w:spacing w:after="120" w:line="240" w:lineRule="auto"/>
              <w:jc w:val="center"/>
              <w:rPr>
                <w:rFonts w:ascii="Arial" w:eastAsia="Times New Roman" w:hAnsi="Arial" w:cs="Arial"/>
                <w:kern w:val="0"/>
                <w:sz w:val="16"/>
                <w:szCs w:val="16"/>
                <w:lang w:eastAsia="en-GB"/>
                <w14:ligatures w14:val="none"/>
              </w:rPr>
            </w:pPr>
            <w:r w:rsidRPr="000652EE">
              <w:rPr>
                <w:rFonts w:ascii="Poppins" w:eastAsia="Times New Roman" w:hAnsi="Poppins" w:cs="Poppins"/>
                <w:b/>
                <w:color w:val="FFFFFF"/>
                <w:kern w:val="24"/>
                <w:sz w:val="16"/>
                <w:szCs w:val="16"/>
                <w:lang w:eastAsia="en-GB"/>
                <w14:ligatures w14:val="none"/>
              </w:rPr>
              <w:t>Full participation</w:t>
            </w:r>
          </w:p>
          <w:p w14:paraId="05775562" w14:textId="77777777" w:rsidR="00D01B47" w:rsidRPr="000652EE" w:rsidRDefault="00D01B47">
            <w:pPr>
              <w:spacing w:after="120" w:line="240" w:lineRule="auto"/>
              <w:jc w:val="center"/>
              <w:rPr>
                <w:rFonts w:ascii="Arial" w:eastAsia="Times New Roman" w:hAnsi="Arial" w:cs="Arial"/>
                <w:kern w:val="0"/>
                <w:sz w:val="16"/>
                <w:szCs w:val="16"/>
                <w:lang w:eastAsia="en-GB"/>
                <w14:ligatures w14:val="none"/>
              </w:rPr>
            </w:pPr>
            <w:r w:rsidRPr="53AFA2D0">
              <w:rPr>
                <w:rFonts w:ascii="Poppins" w:eastAsia="MS Mincho" w:hAnsi="Poppins" w:cs="Poppins"/>
                <w:i/>
                <w:color w:val="FFFFFF"/>
                <w:kern w:val="24"/>
                <w:sz w:val="14"/>
                <w:szCs w:val="14"/>
                <w:lang w:eastAsia="en-GB"/>
                <w14:ligatures w14:val="none"/>
              </w:rPr>
              <w:t>Eligible assets would be required to meet all BM participation requirements (dynamic parameters, bids &amp; offers, PNs, and operational metering)</w:t>
            </w:r>
          </w:p>
        </w:tc>
        <w:tc>
          <w:tcPr>
            <w:tcW w:w="2778" w:type="dxa"/>
            <w:tcBorders>
              <w:left w:val="single" w:sz="8" w:space="0" w:color="FFFFFF" w:themeColor="background1"/>
              <w:bottom w:val="single" w:sz="24" w:space="0" w:color="FFFFFF" w:themeColor="background1"/>
              <w:right w:val="single" w:sz="8" w:space="0" w:color="FFFFFF" w:themeColor="background1"/>
            </w:tcBorders>
            <w:shd w:val="clear" w:color="auto" w:fill="7A3864" w:themeFill="accent2"/>
            <w:tcMar>
              <w:top w:w="15" w:type="dxa"/>
              <w:left w:w="108" w:type="dxa"/>
              <w:bottom w:w="0" w:type="dxa"/>
              <w:right w:w="108" w:type="dxa"/>
            </w:tcMar>
            <w:hideMark/>
          </w:tcPr>
          <w:p w14:paraId="4E1352C3" w14:textId="77777777" w:rsidR="00D01B47" w:rsidRPr="000652EE" w:rsidRDefault="00D01B47">
            <w:pPr>
              <w:spacing w:after="120" w:line="240" w:lineRule="auto"/>
              <w:jc w:val="center"/>
              <w:rPr>
                <w:rFonts w:ascii="Arial" w:eastAsia="Times New Roman" w:hAnsi="Arial" w:cs="Arial"/>
                <w:kern w:val="0"/>
                <w:sz w:val="16"/>
                <w:szCs w:val="16"/>
                <w:lang w:eastAsia="en-GB"/>
                <w14:ligatures w14:val="none"/>
              </w:rPr>
            </w:pPr>
            <w:r w:rsidRPr="000652EE">
              <w:rPr>
                <w:rFonts w:ascii="Poppins" w:eastAsia="MS Mincho" w:hAnsi="Poppins" w:cs="Poppins"/>
                <w:b/>
                <w:color w:val="FFFFFF"/>
                <w:kern w:val="24"/>
                <w:sz w:val="16"/>
                <w:szCs w:val="16"/>
                <w:lang w:eastAsia="en-GB"/>
                <w14:ligatures w14:val="none"/>
              </w:rPr>
              <w:t>Visibility only</w:t>
            </w:r>
          </w:p>
          <w:p w14:paraId="565AEB97" w14:textId="77777777" w:rsidR="00D01B47" w:rsidRPr="000652EE" w:rsidRDefault="00D01B47">
            <w:pPr>
              <w:spacing w:after="120" w:line="240" w:lineRule="auto"/>
              <w:jc w:val="center"/>
              <w:rPr>
                <w:rFonts w:ascii="Arial" w:eastAsia="Times New Roman" w:hAnsi="Arial" w:cs="Arial"/>
                <w:kern w:val="0"/>
                <w:sz w:val="16"/>
                <w:szCs w:val="16"/>
                <w:lang w:eastAsia="en-GB"/>
                <w14:ligatures w14:val="none"/>
              </w:rPr>
            </w:pPr>
            <w:r w:rsidRPr="53AFA2D0">
              <w:rPr>
                <w:rFonts w:ascii="Poppins" w:eastAsia="MS Mincho" w:hAnsi="Poppins" w:cs="Poppins"/>
                <w:i/>
                <w:color w:val="FFFFFF"/>
                <w:kern w:val="24"/>
                <w:sz w:val="14"/>
                <w:szCs w:val="14"/>
                <w:lang w:eastAsia="en-GB"/>
                <w14:ligatures w14:val="none"/>
              </w:rPr>
              <w:t>Eligible assets would be required to provide operational data and PN to NESO but would not be required to actively participate in the BM</w:t>
            </w:r>
          </w:p>
        </w:tc>
      </w:tr>
      <w:tr w:rsidR="00D01B47" w:rsidRPr="000652EE" w14:paraId="57CDBDDD" w14:textId="77777777" w:rsidTr="53AFA2D0">
        <w:trPr>
          <w:trHeight w:val="457"/>
        </w:trPr>
        <w:tc>
          <w:tcPr>
            <w:tcW w:w="1559"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A3864" w:themeFill="accent2"/>
            <w:tcMar>
              <w:top w:w="15" w:type="dxa"/>
              <w:left w:w="108" w:type="dxa"/>
              <w:bottom w:w="0" w:type="dxa"/>
              <w:right w:w="108" w:type="dxa"/>
            </w:tcMar>
            <w:vAlign w:val="center"/>
            <w:hideMark/>
          </w:tcPr>
          <w:p w14:paraId="7CA697BB" w14:textId="77777777" w:rsidR="00D01B47" w:rsidRPr="000652EE" w:rsidRDefault="00D01B47">
            <w:pPr>
              <w:spacing w:after="120" w:line="240" w:lineRule="auto"/>
              <w:rPr>
                <w:rFonts w:ascii="Arial" w:eastAsia="Times New Roman" w:hAnsi="Arial" w:cs="Arial"/>
                <w:kern w:val="0"/>
                <w:sz w:val="16"/>
                <w:szCs w:val="16"/>
                <w:lang w:eastAsia="en-GB"/>
                <w14:ligatures w14:val="none"/>
              </w:rPr>
            </w:pPr>
            <w:r w:rsidRPr="000652EE">
              <w:rPr>
                <w:rFonts w:ascii="Poppins" w:eastAsia="Times New Roman" w:hAnsi="Poppins" w:cs="Poppins"/>
                <w:b/>
                <w:color w:val="FFFFFF"/>
                <w:kern w:val="24"/>
                <w:sz w:val="16"/>
                <w:szCs w:val="16"/>
                <w:lang w:eastAsia="en-GB"/>
                <w14:ligatures w14:val="none"/>
              </w:rPr>
              <w:t> Threshold</w:t>
            </w:r>
          </w:p>
        </w:tc>
        <w:tc>
          <w:tcPr>
            <w:tcW w:w="2642"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2D8"/>
            <w:tcMar>
              <w:top w:w="15" w:type="dxa"/>
              <w:left w:w="108" w:type="dxa"/>
              <w:bottom w:w="0" w:type="dxa"/>
              <w:right w:w="108" w:type="dxa"/>
            </w:tcMar>
            <w:vAlign w:val="center"/>
            <w:hideMark/>
          </w:tcPr>
          <w:p w14:paraId="1E17D35A" w14:textId="77777777" w:rsidR="00D01B47" w:rsidRPr="000652EE" w:rsidRDefault="00D01B47">
            <w:pPr>
              <w:spacing w:after="120" w:line="240" w:lineRule="auto"/>
              <w:jc w:val="center"/>
              <w:rPr>
                <w:rFonts w:ascii="Arial" w:eastAsia="Times New Roman" w:hAnsi="Arial" w:cs="Arial"/>
                <w:kern w:val="0"/>
                <w:sz w:val="16"/>
                <w:szCs w:val="16"/>
                <w:lang w:eastAsia="en-GB"/>
                <w14:ligatures w14:val="none"/>
              </w:rPr>
            </w:pPr>
            <w:r w:rsidRPr="000652EE">
              <w:rPr>
                <w:rFonts w:ascii="Poppins" w:eastAsia="Times New Roman" w:hAnsi="Poppins" w:cs="Poppins"/>
                <w:b/>
                <w:color w:val="000000"/>
                <w:kern w:val="24"/>
                <w:sz w:val="16"/>
                <w:szCs w:val="16"/>
                <w:lang w:eastAsia="en-GB"/>
                <w14:ligatures w14:val="none"/>
              </w:rPr>
              <w:t> ≥30 MW</w:t>
            </w:r>
          </w:p>
        </w:tc>
        <w:tc>
          <w:tcPr>
            <w:tcW w:w="2509"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2D8"/>
            <w:tcMar>
              <w:top w:w="15" w:type="dxa"/>
              <w:left w:w="108" w:type="dxa"/>
              <w:bottom w:w="0" w:type="dxa"/>
              <w:right w:w="108" w:type="dxa"/>
            </w:tcMar>
            <w:vAlign w:val="center"/>
            <w:hideMark/>
          </w:tcPr>
          <w:p w14:paraId="1313E543" w14:textId="77777777" w:rsidR="00D01B47" w:rsidRPr="000652EE" w:rsidRDefault="00D01B47">
            <w:pPr>
              <w:spacing w:after="120" w:line="240" w:lineRule="auto"/>
              <w:jc w:val="center"/>
              <w:rPr>
                <w:rFonts w:ascii="Arial" w:eastAsia="Times New Roman" w:hAnsi="Arial" w:cs="Arial"/>
                <w:kern w:val="0"/>
                <w:sz w:val="16"/>
                <w:szCs w:val="16"/>
                <w:lang w:eastAsia="en-GB"/>
                <w14:ligatures w14:val="none"/>
              </w:rPr>
            </w:pPr>
            <w:r w:rsidRPr="000652EE">
              <w:rPr>
                <w:rFonts w:ascii="Poppins" w:eastAsia="Times New Roman" w:hAnsi="Poppins" w:cs="Poppins"/>
                <w:b/>
                <w:color w:val="000000"/>
                <w:kern w:val="24"/>
                <w:sz w:val="16"/>
                <w:szCs w:val="16"/>
                <w:lang w:eastAsia="en-GB"/>
                <w14:ligatures w14:val="none"/>
              </w:rPr>
              <w:t> ≥10 MW</w:t>
            </w:r>
          </w:p>
        </w:tc>
        <w:tc>
          <w:tcPr>
            <w:tcW w:w="2778" w:type="dxa"/>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2D8"/>
            <w:tcMar>
              <w:top w:w="15" w:type="dxa"/>
              <w:left w:w="108" w:type="dxa"/>
              <w:bottom w:w="0" w:type="dxa"/>
              <w:right w:w="108" w:type="dxa"/>
            </w:tcMar>
            <w:vAlign w:val="center"/>
            <w:hideMark/>
          </w:tcPr>
          <w:p w14:paraId="7D4EEC57" w14:textId="77777777" w:rsidR="00D01B47" w:rsidRPr="000652EE" w:rsidRDefault="00D01B47">
            <w:pPr>
              <w:spacing w:after="120" w:line="240" w:lineRule="auto"/>
              <w:jc w:val="center"/>
              <w:rPr>
                <w:rFonts w:ascii="Arial" w:eastAsia="Times New Roman" w:hAnsi="Arial" w:cs="Arial"/>
                <w:kern w:val="0"/>
                <w:sz w:val="16"/>
                <w:szCs w:val="16"/>
                <w:lang w:eastAsia="en-GB"/>
                <w14:ligatures w14:val="none"/>
              </w:rPr>
            </w:pPr>
            <w:r w:rsidRPr="000652EE">
              <w:rPr>
                <w:rFonts w:ascii="Poppins" w:eastAsia="Aptos" w:hAnsi="Poppins" w:cs="Poppins"/>
                <w:b/>
                <w:bCs/>
                <w:color w:val="000000"/>
                <w:kern w:val="24"/>
                <w:sz w:val="16"/>
                <w:szCs w:val="16"/>
                <w:lang w:eastAsia="en-GB"/>
                <w14:ligatures w14:val="none"/>
              </w:rPr>
              <w:t>≥</w:t>
            </w:r>
            <w:r w:rsidRPr="000652EE">
              <w:rPr>
                <w:rFonts w:ascii="Poppins" w:eastAsia="MS Mincho" w:hAnsi="Poppins" w:cs="Poppins"/>
                <w:b/>
                <w:bCs/>
                <w:color w:val="000000"/>
                <w:kern w:val="24"/>
                <w:sz w:val="16"/>
                <w:szCs w:val="16"/>
                <w:lang w:eastAsia="en-GB"/>
                <w14:ligatures w14:val="none"/>
              </w:rPr>
              <w:t xml:space="preserve">1 </w:t>
            </w:r>
            <w:r w:rsidRPr="000652EE">
              <w:rPr>
                <w:rFonts w:ascii="Poppins" w:eastAsia="MS Mincho" w:hAnsi="Poppins" w:cs="Poppins"/>
                <w:b/>
                <w:color w:val="000000"/>
                <w:kern w:val="24"/>
                <w:sz w:val="16"/>
                <w:szCs w:val="16"/>
                <w:lang w:eastAsia="en-GB"/>
                <w14:ligatures w14:val="none"/>
              </w:rPr>
              <w:t>MW</w:t>
            </w:r>
          </w:p>
        </w:tc>
      </w:tr>
      <w:tr w:rsidR="00D01B47" w:rsidRPr="000652EE" w14:paraId="521B3CED" w14:textId="77777777" w:rsidTr="53AFA2D0">
        <w:trPr>
          <w:trHeight w:val="558"/>
        </w:trPr>
        <w:tc>
          <w:tcPr>
            <w:tcW w:w="15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A3864" w:themeFill="accent2"/>
            <w:tcMar>
              <w:top w:w="15" w:type="dxa"/>
              <w:left w:w="108" w:type="dxa"/>
              <w:bottom w:w="0" w:type="dxa"/>
              <w:right w:w="108" w:type="dxa"/>
            </w:tcMar>
            <w:vAlign w:val="center"/>
            <w:hideMark/>
          </w:tcPr>
          <w:p w14:paraId="0AF9B5A8" w14:textId="77777777" w:rsidR="00D01B47" w:rsidRPr="000652EE" w:rsidRDefault="00D01B47">
            <w:pPr>
              <w:spacing w:after="120" w:line="240" w:lineRule="auto"/>
              <w:rPr>
                <w:rFonts w:ascii="Arial" w:eastAsia="Times New Roman" w:hAnsi="Arial" w:cs="Arial"/>
                <w:kern w:val="0"/>
                <w:sz w:val="16"/>
                <w:szCs w:val="16"/>
                <w:lang w:eastAsia="en-GB"/>
                <w14:ligatures w14:val="none"/>
              </w:rPr>
            </w:pPr>
            <w:r w:rsidRPr="000652EE">
              <w:rPr>
                <w:rFonts w:ascii="Poppins" w:eastAsia="Times New Roman" w:hAnsi="Poppins" w:cs="Poppins"/>
                <w:b/>
                <w:color w:val="FFFFFF"/>
                <w:kern w:val="24"/>
                <w:sz w:val="16"/>
                <w:szCs w:val="16"/>
                <w:lang w:eastAsia="en-GB"/>
                <w14:ligatures w14:val="none"/>
              </w:rPr>
              <w:t> Applies to</w:t>
            </w:r>
          </w:p>
        </w:tc>
        <w:tc>
          <w:tcPr>
            <w:tcW w:w="264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AED"/>
            <w:tcMar>
              <w:top w:w="15" w:type="dxa"/>
              <w:left w:w="108" w:type="dxa"/>
              <w:bottom w:w="0" w:type="dxa"/>
              <w:right w:w="108" w:type="dxa"/>
            </w:tcMar>
            <w:vAlign w:val="center"/>
            <w:hideMark/>
          </w:tcPr>
          <w:p w14:paraId="28BAB6DD" w14:textId="77777777" w:rsidR="00D01B47" w:rsidRPr="000652EE" w:rsidRDefault="00D01B47">
            <w:pPr>
              <w:spacing w:after="120" w:line="240" w:lineRule="auto"/>
              <w:rPr>
                <w:rFonts w:ascii="Arial" w:eastAsia="Times New Roman" w:hAnsi="Arial" w:cs="Arial"/>
                <w:kern w:val="0"/>
                <w:sz w:val="16"/>
                <w:szCs w:val="16"/>
                <w:lang w:eastAsia="en-GB"/>
                <w14:ligatures w14:val="none"/>
              </w:rPr>
            </w:pPr>
            <w:r w:rsidRPr="53AFA2D0">
              <w:rPr>
                <w:rFonts w:ascii="Poppins" w:eastAsia="Times New Roman" w:hAnsi="Poppins" w:cs="Poppins"/>
                <w:color w:val="000000"/>
                <w:kern w:val="24"/>
                <w:sz w:val="16"/>
                <w:szCs w:val="16"/>
                <w:lang w:eastAsia="en-GB"/>
                <w14:ligatures w14:val="none"/>
              </w:rPr>
              <w:t>Existing demand assets and generation assets connected on or after 27 April 2019 (complying with EREC G99)</w:t>
            </w:r>
          </w:p>
        </w:tc>
        <w:tc>
          <w:tcPr>
            <w:tcW w:w="250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AED"/>
            <w:tcMar>
              <w:top w:w="15" w:type="dxa"/>
              <w:left w:w="108" w:type="dxa"/>
              <w:bottom w:w="0" w:type="dxa"/>
              <w:right w:w="108" w:type="dxa"/>
            </w:tcMar>
            <w:vAlign w:val="center"/>
            <w:hideMark/>
          </w:tcPr>
          <w:p w14:paraId="1E06050B" w14:textId="32FEA54B" w:rsidR="00D01B47" w:rsidRPr="000652EE" w:rsidRDefault="00D01B47">
            <w:pPr>
              <w:spacing w:after="120" w:line="240" w:lineRule="auto"/>
              <w:rPr>
                <w:rFonts w:ascii="Arial" w:eastAsia="Times New Roman" w:hAnsi="Arial" w:cs="Arial"/>
                <w:kern w:val="0"/>
                <w:sz w:val="16"/>
                <w:szCs w:val="16"/>
                <w:lang w:eastAsia="en-GB"/>
                <w14:ligatures w14:val="none"/>
              </w:rPr>
            </w:pPr>
            <w:r w:rsidRPr="000652EE">
              <w:rPr>
                <w:rFonts w:ascii="Poppins" w:eastAsia="Times New Roman" w:hAnsi="Poppins" w:cs="Poppins"/>
                <w:color w:val="000000"/>
                <w:kern w:val="24"/>
                <w:sz w:val="16"/>
                <w:szCs w:val="16"/>
                <w:lang w:eastAsia="en-GB"/>
                <w14:ligatures w14:val="none"/>
              </w:rPr>
              <w:t>New generation and demand assets</w:t>
            </w:r>
          </w:p>
        </w:tc>
        <w:tc>
          <w:tcPr>
            <w:tcW w:w="27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AED"/>
            <w:tcMar>
              <w:top w:w="15" w:type="dxa"/>
              <w:left w:w="108" w:type="dxa"/>
              <w:bottom w:w="0" w:type="dxa"/>
              <w:right w:w="108" w:type="dxa"/>
            </w:tcMar>
            <w:vAlign w:val="center"/>
            <w:hideMark/>
          </w:tcPr>
          <w:p w14:paraId="67FC38C8" w14:textId="77777777" w:rsidR="00D01B47" w:rsidRPr="000652EE" w:rsidRDefault="00D01B47">
            <w:pPr>
              <w:spacing w:after="120" w:line="240" w:lineRule="auto"/>
              <w:rPr>
                <w:rFonts w:ascii="Arial" w:eastAsia="Times New Roman" w:hAnsi="Arial" w:cs="Arial"/>
                <w:kern w:val="0"/>
                <w:sz w:val="16"/>
                <w:szCs w:val="16"/>
                <w:lang w:eastAsia="en-GB"/>
                <w14:ligatures w14:val="none"/>
              </w:rPr>
            </w:pPr>
            <w:r w:rsidRPr="000652EE">
              <w:rPr>
                <w:rFonts w:ascii="Poppins" w:eastAsia="Aptos" w:hAnsi="Poppins" w:cs="Poppins"/>
                <w:color w:val="000000"/>
                <w:kern w:val="24"/>
                <w:sz w:val="16"/>
                <w:szCs w:val="16"/>
                <w:lang w:eastAsia="en-GB"/>
                <w14:ligatures w14:val="none"/>
              </w:rPr>
              <w:t>New generation assets</w:t>
            </w:r>
          </w:p>
        </w:tc>
      </w:tr>
      <w:tr w:rsidR="00D01B47" w:rsidRPr="000652EE" w14:paraId="75945C74" w14:textId="77777777" w:rsidTr="53AFA2D0">
        <w:trPr>
          <w:trHeight w:val="973"/>
        </w:trPr>
        <w:tc>
          <w:tcPr>
            <w:tcW w:w="15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A3864" w:themeFill="accent2"/>
            <w:tcMar>
              <w:top w:w="15" w:type="dxa"/>
              <w:left w:w="108" w:type="dxa"/>
              <w:bottom w:w="0" w:type="dxa"/>
              <w:right w:w="108" w:type="dxa"/>
            </w:tcMar>
            <w:vAlign w:val="center"/>
            <w:hideMark/>
          </w:tcPr>
          <w:p w14:paraId="79FD3BFE" w14:textId="77777777" w:rsidR="00D01B47" w:rsidRPr="000652EE" w:rsidRDefault="00D01B47">
            <w:pPr>
              <w:spacing w:after="120" w:line="240" w:lineRule="auto"/>
              <w:rPr>
                <w:rFonts w:ascii="Arial" w:eastAsia="Times New Roman" w:hAnsi="Arial" w:cs="Arial"/>
                <w:kern w:val="0"/>
                <w:sz w:val="16"/>
                <w:szCs w:val="16"/>
                <w:lang w:eastAsia="en-GB"/>
                <w14:ligatures w14:val="none"/>
              </w:rPr>
            </w:pPr>
            <w:r w:rsidRPr="000652EE">
              <w:rPr>
                <w:rFonts w:ascii="Poppins" w:eastAsia="Times New Roman" w:hAnsi="Poppins" w:cs="Poppins"/>
                <w:b/>
                <w:color w:val="FFFFFF"/>
                <w:kern w:val="24"/>
                <w:sz w:val="16"/>
                <w:szCs w:val="16"/>
                <w:lang w:eastAsia="en-GB"/>
                <w14:ligatures w14:val="none"/>
              </w:rPr>
              <w:t> Requirements</w:t>
            </w:r>
          </w:p>
        </w:tc>
        <w:tc>
          <w:tcPr>
            <w:tcW w:w="5151"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2D8"/>
            <w:tcMar>
              <w:top w:w="15" w:type="dxa"/>
              <w:left w:w="108" w:type="dxa"/>
              <w:bottom w:w="0" w:type="dxa"/>
              <w:right w:w="108" w:type="dxa"/>
            </w:tcMar>
            <w:vAlign w:val="center"/>
            <w:hideMark/>
          </w:tcPr>
          <w:p w14:paraId="4FEA5A09" w14:textId="42F55F89" w:rsidR="00D01B47" w:rsidRPr="000652EE" w:rsidRDefault="00D01B47">
            <w:pPr>
              <w:spacing w:after="120" w:line="240" w:lineRule="auto"/>
              <w:rPr>
                <w:rFonts w:ascii="Arial" w:eastAsia="Times New Roman" w:hAnsi="Arial" w:cs="Arial"/>
                <w:kern w:val="0"/>
                <w:sz w:val="16"/>
                <w:szCs w:val="16"/>
                <w:lang w:eastAsia="en-GB"/>
                <w14:ligatures w14:val="none"/>
              </w:rPr>
            </w:pPr>
            <w:r w:rsidRPr="000652EE">
              <w:rPr>
                <w:rFonts w:ascii="Poppins" w:eastAsia="Times New Roman" w:hAnsi="Poppins" w:cs="Poppins"/>
                <w:color w:val="000000"/>
                <w:kern w:val="24"/>
                <w:sz w:val="16"/>
                <w:szCs w:val="16"/>
                <w:lang w:eastAsia="en-GB"/>
                <w14:ligatures w14:val="none"/>
              </w:rPr>
              <w:t>Full BM participation (dynamic data, bids/offers, PN, operational metering)</w:t>
            </w:r>
          </w:p>
        </w:tc>
        <w:tc>
          <w:tcPr>
            <w:tcW w:w="27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2D8"/>
            <w:tcMar>
              <w:top w:w="15" w:type="dxa"/>
              <w:left w:w="108" w:type="dxa"/>
              <w:bottom w:w="0" w:type="dxa"/>
              <w:right w:w="108" w:type="dxa"/>
            </w:tcMar>
            <w:vAlign w:val="center"/>
            <w:hideMark/>
          </w:tcPr>
          <w:p w14:paraId="6C8CEE06" w14:textId="77777777" w:rsidR="00D01B47" w:rsidRPr="000652EE" w:rsidRDefault="00D01B47">
            <w:pPr>
              <w:spacing w:after="120" w:line="240" w:lineRule="auto"/>
              <w:rPr>
                <w:rFonts w:ascii="Arial" w:eastAsia="Times New Roman" w:hAnsi="Arial" w:cs="Arial"/>
                <w:kern w:val="0"/>
                <w:sz w:val="16"/>
                <w:szCs w:val="16"/>
                <w:lang w:eastAsia="en-GB"/>
                <w14:ligatures w14:val="none"/>
              </w:rPr>
            </w:pPr>
            <w:r w:rsidRPr="000652EE">
              <w:rPr>
                <w:rFonts w:ascii="Poppins" w:eastAsia="Aptos" w:hAnsi="Poppins" w:cs="Poppins"/>
                <w:color w:val="000000"/>
                <w:kern w:val="24"/>
                <w:sz w:val="16"/>
                <w:szCs w:val="16"/>
                <w:lang w:eastAsia="en-GB"/>
                <w14:ligatures w14:val="none"/>
              </w:rPr>
              <w:t>Only submit PN data and operational metering</w:t>
            </w:r>
          </w:p>
        </w:tc>
      </w:tr>
      <w:tr w:rsidR="00D01B47" w:rsidRPr="000652EE" w14:paraId="31C66A1E" w14:textId="77777777" w:rsidTr="53AFA2D0">
        <w:trPr>
          <w:trHeight w:val="973"/>
        </w:trPr>
        <w:tc>
          <w:tcPr>
            <w:tcW w:w="15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A3864" w:themeFill="accent2"/>
            <w:tcMar>
              <w:top w:w="15" w:type="dxa"/>
              <w:left w:w="108" w:type="dxa"/>
              <w:bottom w:w="0" w:type="dxa"/>
              <w:right w:w="108" w:type="dxa"/>
            </w:tcMar>
            <w:vAlign w:val="center"/>
            <w:hideMark/>
          </w:tcPr>
          <w:p w14:paraId="57ABCD25" w14:textId="77777777" w:rsidR="00D01B47" w:rsidRPr="000652EE" w:rsidRDefault="00D01B47">
            <w:pPr>
              <w:spacing w:after="120" w:line="240" w:lineRule="auto"/>
              <w:rPr>
                <w:rFonts w:ascii="Arial" w:eastAsia="Times New Roman" w:hAnsi="Arial" w:cs="Arial"/>
                <w:kern w:val="0"/>
                <w:sz w:val="16"/>
                <w:szCs w:val="16"/>
                <w:lang w:eastAsia="en-GB"/>
                <w14:ligatures w14:val="none"/>
              </w:rPr>
            </w:pPr>
            <w:r w:rsidRPr="000652EE">
              <w:rPr>
                <w:rFonts w:ascii="Poppins" w:eastAsia="Times New Roman" w:hAnsi="Poppins" w:cs="Poppins"/>
                <w:b/>
                <w:color w:val="FFFFFF"/>
                <w:kern w:val="24"/>
                <w:sz w:val="16"/>
                <w:szCs w:val="16"/>
                <w:lang w:eastAsia="en-GB"/>
                <w14:ligatures w14:val="none"/>
              </w:rPr>
              <w:t> Aggregation</w:t>
            </w:r>
          </w:p>
        </w:tc>
        <w:tc>
          <w:tcPr>
            <w:tcW w:w="5151"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AED"/>
            <w:tcMar>
              <w:top w:w="15" w:type="dxa"/>
              <w:left w:w="108" w:type="dxa"/>
              <w:bottom w:w="0" w:type="dxa"/>
              <w:right w:w="108" w:type="dxa"/>
            </w:tcMar>
            <w:vAlign w:val="center"/>
            <w:hideMark/>
          </w:tcPr>
          <w:p w14:paraId="74E9D9C8" w14:textId="77777777" w:rsidR="00D01B47" w:rsidRPr="000652EE" w:rsidRDefault="00D01B47">
            <w:pPr>
              <w:spacing w:after="120" w:line="240" w:lineRule="auto"/>
              <w:rPr>
                <w:rFonts w:ascii="Arial" w:eastAsia="Times New Roman" w:hAnsi="Arial" w:cs="Arial"/>
                <w:kern w:val="0"/>
                <w:sz w:val="16"/>
                <w:szCs w:val="16"/>
                <w:lang w:eastAsia="en-GB"/>
                <w14:ligatures w14:val="none"/>
              </w:rPr>
            </w:pPr>
            <w:r w:rsidRPr="000652EE">
              <w:rPr>
                <w:rFonts w:ascii="Poppins" w:eastAsia="Times New Roman" w:hAnsi="Poppins" w:cs="Poppins"/>
                <w:color w:val="000000"/>
                <w:kern w:val="24"/>
                <w:sz w:val="16"/>
                <w:szCs w:val="16"/>
                <w:lang w:eastAsia="en-GB"/>
                <w14:ligatures w14:val="none"/>
              </w:rPr>
              <w:t>We expect that existing aggregated units can stay aggregated, but will be reviewing ongoing arrangements for aggregation, particularly for new assets. This will be to minimise the impact of aggregated units across system constraints.</w:t>
            </w:r>
          </w:p>
        </w:tc>
        <w:tc>
          <w:tcPr>
            <w:tcW w:w="27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AED"/>
            <w:tcMar>
              <w:top w:w="15" w:type="dxa"/>
              <w:left w:w="108" w:type="dxa"/>
              <w:bottom w:w="0" w:type="dxa"/>
              <w:right w:w="108" w:type="dxa"/>
            </w:tcMar>
            <w:vAlign w:val="center"/>
            <w:hideMark/>
          </w:tcPr>
          <w:p w14:paraId="4A54C996" w14:textId="77777777" w:rsidR="00D01B47" w:rsidRPr="000652EE" w:rsidRDefault="00D01B47">
            <w:pPr>
              <w:spacing w:after="120" w:line="240" w:lineRule="auto"/>
              <w:rPr>
                <w:rFonts w:ascii="Arial" w:eastAsia="Times New Roman" w:hAnsi="Arial" w:cs="Arial"/>
                <w:kern w:val="0"/>
                <w:sz w:val="16"/>
                <w:szCs w:val="16"/>
                <w:lang w:eastAsia="en-GB"/>
                <w14:ligatures w14:val="none"/>
              </w:rPr>
            </w:pPr>
            <w:r w:rsidRPr="53AFA2D0">
              <w:rPr>
                <w:rFonts w:ascii="Poppins" w:eastAsia="Aptos" w:hAnsi="Poppins" w:cs="Poppins"/>
                <w:color w:val="000000"/>
                <w:kern w:val="24"/>
                <w:sz w:val="16"/>
                <w:szCs w:val="16"/>
                <w:lang w:eastAsia="en-GB"/>
                <w14:ligatures w14:val="none"/>
              </w:rPr>
              <w:t>Aggregation would be authorised, but aggregated units must fully participate in the BM, as per current rules.</w:t>
            </w:r>
          </w:p>
        </w:tc>
      </w:tr>
      <w:tr w:rsidR="00D01B47" w:rsidRPr="000652EE" w14:paraId="2B10E2C0" w14:textId="77777777" w:rsidTr="53AFA2D0">
        <w:trPr>
          <w:trHeight w:val="973"/>
        </w:trPr>
        <w:tc>
          <w:tcPr>
            <w:tcW w:w="15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A3864" w:themeFill="accent2"/>
            <w:tcMar>
              <w:top w:w="15" w:type="dxa"/>
              <w:left w:w="108" w:type="dxa"/>
              <w:bottom w:w="0" w:type="dxa"/>
              <w:right w:w="108" w:type="dxa"/>
            </w:tcMar>
            <w:vAlign w:val="center"/>
            <w:hideMark/>
          </w:tcPr>
          <w:p w14:paraId="23E1C695" w14:textId="77777777" w:rsidR="00D01B47" w:rsidRPr="000652EE" w:rsidRDefault="00D01B47">
            <w:pPr>
              <w:spacing w:after="120" w:line="240" w:lineRule="auto"/>
              <w:rPr>
                <w:rFonts w:ascii="Arial" w:eastAsia="Times New Roman" w:hAnsi="Arial" w:cs="Arial"/>
                <w:kern w:val="0"/>
                <w:sz w:val="16"/>
                <w:szCs w:val="16"/>
                <w:lang w:eastAsia="en-GB"/>
                <w14:ligatures w14:val="none"/>
              </w:rPr>
            </w:pPr>
            <w:r w:rsidRPr="000652EE">
              <w:rPr>
                <w:rFonts w:ascii="Poppins" w:eastAsia="Times New Roman" w:hAnsi="Poppins" w:cs="Poppins"/>
                <w:b/>
                <w:color w:val="FFFFFF"/>
                <w:kern w:val="24"/>
                <w:sz w:val="16"/>
                <w:szCs w:val="16"/>
                <w:lang w:eastAsia="en-GB"/>
                <w14:ligatures w14:val="none"/>
              </w:rPr>
              <w:t> Contract</w:t>
            </w:r>
          </w:p>
        </w:tc>
        <w:tc>
          <w:tcPr>
            <w:tcW w:w="5151" w:type="dxa"/>
            <w:gridSpan w:val="2"/>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2D8"/>
            <w:tcMar>
              <w:top w:w="15" w:type="dxa"/>
              <w:left w:w="108" w:type="dxa"/>
              <w:bottom w:w="0" w:type="dxa"/>
              <w:right w:w="108" w:type="dxa"/>
            </w:tcMar>
            <w:vAlign w:val="center"/>
            <w:hideMark/>
          </w:tcPr>
          <w:p w14:paraId="278C191F" w14:textId="2254169C" w:rsidR="00D01B47" w:rsidRPr="000652EE" w:rsidRDefault="00D01B47">
            <w:pPr>
              <w:spacing w:after="120" w:line="240" w:lineRule="auto"/>
              <w:rPr>
                <w:rFonts w:ascii="Arial" w:eastAsia="Times New Roman" w:hAnsi="Arial" w:cs="Arial"/>
                <w:kern w:val="0"/>
                <w:sz w:val="16"/>
                <w:szCs w:val="16"/>
                <w:lang w:eastAsia="en-GB"/>
                <w14:ligatures w14:val="none"/>
              </w:rPr>
            </w:pPr>
            <w:r w:rsidRPr="53AFA2D0">
              <w:rPr>
                <w:rFonts w:ascii="Poppins" w:eastAsia="Times New Roman" w:hAnsi="Poppins" w:cs="Poppins"/>
                <w:color w:val="000000"/>
                <w:kern w:val="24"/>
                <w:sz w:val="16"/>
                <w:szCs w:val="16"/>
                <w:lang w:eastAsia="en-GB"/>
                <w14:ligatures w14:val="none"/>
              </w:rPr>
              <w:t xml:space="preserve">Assets in scope would </w:t>
            </w:r>
            <w:r w:rsidR="008A62DD">
              <w:rPr>
                <w:rFonts w:ascii="Poppins" w:eastAsia="Times New Roman" w:hAnsi="Poppins" w:cs="Poppins"/>
                <w:color w:val="000000"/>
                <w:kern w:val="24"/>
                <w:sz w:val="16"/>
                <w:szCs w:val="16"/>
                <w:lang w:eastAsia="en-GB"/>
                <w14:ligatures w14:val="none"/>
              </w:rPr>
              <w:t>are expected to be</w:t>
            </w:r>
            <w:r w:rsidRPr="53AFA2D0">
              <w:rPr>
                <w:rFonts w:ascii="Poppins" w:eastAsia="Times New Roman" w:hAnsi="Poppins" w:cs="Poppins"/>
                <w:color w:val="000000"/>
                <w:kern w:val="24"/>
                <w:sz w:val="16"/>
                <w:szCs w:val="16"/>
                <w:lang w:eastAsia="en-GB"/>
                <w14:ligatures w14:val="none"/>
              </w:rPr>
              <w:t xml:space="preserve"> required to enter into a new type of connection contract and comply with full BM participation requirements</w:t>
            </w:r>
            <w:r w:rsidR="00D41B52">
              <w:rPr>
                <w:rFonts w:ascii="Poppins" w:eastAsia="Times New Roman" w:hAnsi="Poppins" w:cs="Poppins"/>
                <w:color w:val="000000"/>
                <w:kern w:val="24"/>
                <w:sz w:val="16"/>
                <w:szCs w:val="16"/>
                <w:lang w:eastAsia="en-GB"/>
                <w14:ligatures w14:val="none"/>
              </w:rPr>
              <w:t>. Th</w:t>
            </w:r>
            <w:r w:rsidR="00F06FBD">
              <w:rPr>
                <w:rFonts w:ascii="Poppins" w:eastAsia="Times New Roman" w:hAnsi="Poppins" w:cs="Poppins"/>
                <w:color w:val="000000"/>
                <w:kern w:val="24"/>
                <w:sz w:val="16"/>
                <w:szCs w:val="16"/>
                <w:lang w:eastAsia="en-GB"/>
                <w14:ligatures w14:val="none"/>
              </w:rPr>
              <w:t xml:space="preserve">e definitive instrument to </w:t>
            </w:r>
            <w:proofErr w:type="spellStart"/>
            <w:r w:rsidR="00F06FBD">
              <w:rPr>
                <w:rFonts w:ascii="Poppins" w:eastAsia="Times New Roman" w:hAnsi="Poppins" w:cs="Poppins"/>
                <w:color w:val="000000"/>
                <w:kern w:val="24"/>
                <w:sz w:val="16"/>
                <w:szCs w:val="16"/>
                <w:lang w:eastAsia="en-GB"/>
                <w14:ligatures w14:val="none"/>
              </w:rPr>
              <w:t>fulfill</w:t>
            </w:r>
            <w:proofErr w:type="spellEnd"/>
            <w:r w:rsidR="00F06FBD">
              <w:rPr>
                <w:rFonts w:ascii="Poppins" w:eastAsia="Times New Roman" w:hAnsi="Poppins" w:cs="Poppins"/>
                <w:color w:val="000000"/>
                <w:kern w:val="24"/>
                <w:sz w:val="16"/>
                <w:szCs w:val="16"/>
                <w:lang w:eastAsia="en-GB"/>
                <w14:ligatures w14:val="none"/>
              </w:rPr>
              <w:t xml:space="preserve"> this requirement is still under consideration, </w:t>
            </w:r>
            <w:r w:rsidR="008A62DD">
              <w:rPr>
                <w:rFonts w:ascii="Poppins" w:eastAsia="Times New Roman" w:hAnsi="Poppins" w:cs="Poppins"/>
                <w:color w:val="000000"/>
                <w:kern w:val="24"/>
                <w:sz w:val="16"/>
                <w:szCs w:val="16"/>
                <w:lang w:eastAsia="en-GB"/>
                <w14:ligatures w14:val="none"/>
              </w:rPr>
              <w:t xml:space="preserve"> and will be part of the final design of the reform.</w:t>
            </w:r>
          </w:p>
        </w:tc>
        <w:tc>
          <w:tcPr>
            <w:tcW w:w="27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2D8"/>
            <w:tcMar>
              <w:top w:w="15" w:type="dxa"/>
              <w:left w:w="108" w:type="dxa"/>
              <w:bottom w:w="0" w:type="dxa"/>
              <w:right w:w="108" w:type="dxa"/>
            </w:tcMar>
            <w:vAlign w:val="center"/>
            <w:hideMark/>
          </w:tcPr>
          <w:p w14:paraId="44AC8FAE" w14:textId="05ECCA38" w:rsidR="00D01B47" w:rsidRPr="000652EE" w:rsidRDefault="00D01B47">
            <w:pPr>
              <w:spacing w:after="120" w:line="240" w:lineRule="auto"/>
              <w:rPr>
                <w:rFonts w:ascii="Arial" w:eastAsia="Times New Roman" w:hAnsi="Arial" w:cs="Arial"/>
                <w:kern w:val="0"/>
                <w:sz w:val="16"/>
                <w:szCs w:val="16"/>
                <w:lang w:eastAsia="en-GB"/>
                <w14:ligatures w14:val="none"/>
              </w:rPr>
            </w:pPr>
            <w:r w:rsidRPr="53AFA2D0">
              <w:rPr>
                <w:rFonts w:ascii="Poppins" w:eastAsia="Aptos" w:hAnsi="Poppins" w:cs="Poppins"/>
                <w:color w:val="000000"/>
                <w:kern w:val="24"/>
                <w:sz w:val="16"/>
                <w:szCs w:val="16"/>
                <w:lang w:eastAsia="en-GB"/>
                <w14:ligatures w14:val="none"/>
              </w:rPr>
              <w:t xml:space="preserve">New generation assets </w:t>
            </w:r>
            <w:r w:rsidRPr="53AFA2D0">
              <w:rPr>
                <w:rFonts w:ascii="Poppins" w:eastAsia="Times New Roman" w:hAnsi="Poppins" w:cs="Poppins"/>
                <w:color w:val="000000"/>
                <w:kern w:val="24"/>
                <w:sz w:val="16"/>
                <w:szCs w:val="16"/>
                <w:lang w:eastAsia="en-GB"/>
                <w14:ligatures w14:val="none"/>
              </w:rPr>
              <w:t>≥</w:t>
            </w:r>
            <w:r w:rsidRPr="53AFA2D0">
              <w:rPr>
                <w:rFonts w:ascii="Poppins" w:eastAsia="Aptos" w:hAnsi="Poppins" w:cs="Poppins"/>
                <w:color w:val="000000"/>
                <w:kern w:val="24"/>
                <w:sz w:val="16"/>
                <w:szCs w:val="16"/>
                <w:lang w:eastAsia="en-GB"/>
                <w14:ligatures w14:val="none"/>
              </w:rPr>
              <w:t xml:space="preserve">1 MW would </w:t>
            </w:r>
            <w:r w:rsidR="008A62DD">
              <w:rPr>
                <w:rFonts w:ascii="Poppins" w:eastAsia="Aptos" w:hAnsi="Poppins" w:cs="Poppins"/>
                <w:color w:val="000000"/>
                <w:kern w:val="24"/>
                <w:sz w:val="16"/>
                <w:szCs w:val="16"/>
                <w:lang w:eastAsia="en-GB"/>
                <w14:ligatures w14:val="none"/>
              </w:rPr>
              <w:t xml:space="preserve">are expected to </w:t>
            </w:r>
            <w:r w:rsidRPr="53AFA2D0">
              <w:rPr>
                <w:rFonts w:ascii="Poppins" w:eastAsia="Aptos" w:hAnsi="Poppins" w:cs="Poppins"/>
                <w:color w:val="000000"/>
                <w:kern w:val="24"/>
                <w:sz w:val="16"/>
                <w:szCs w:val="16"/>
                <w:lang w:eastAsia="en-GB"/>
                <w14:ligatures w14:val="none"/>
              </w:rPr>
              <w:t>be required to enter into a new type of connection contract and provide operational visibility to NESO</w:t>
            </w:r>
            <w:r w:rsidR="008A62DD">
              <w:rPr>
                <w:rFonts w:ascii="Poppins" w:eastAsia="Aptos" w:hAnsi="Poppins" w:cs="Poppins"/>
                <w:color w:val="000000"/>
                <w:kern w:val="24"/>
                <w:sz w:val="16"/>
                <w:szCs w:val="16"/>
                <w:lang w:eastAsia="en-GB"/>
                <w14:ligatures w14:val="none"/>
              </w:rPr>
              <w:t xml:space="preserve">. </w:t>
            </w:r>
            <w:r w:rsidR="008A62DD">
              <w:rPr>
                <w:rFonts w:ascii="Poppins" w:eastAsia="Times New Roman" w:hAnsi="Poppins" w:cs="Poppins"/>
                <w:color w:val="000000"/>
                <w:kern w:val="24"/>
                <w:sz w:val="16"/>
                <w:szCs w:val="16"/>
                <w:lang w:eastAsia="en-GB"/>
                <w14:ligatures w14:val="none"/>
              </w:rPr>
              <w:t xml:space="preserve">The definitive instrument to </w:t>
            </w:r>
            <w:proofErr w:type="spellStart"/>
            <w:r w:rsidR="008A62DD">
              <w:rPr>
                <w:rFonts w:ascii="Poppins" w:eastAsia="Times New Roman" w:hAnsi="Poppins" w:cs="Poppins"/>
                <w:color w:val="000000"/>
                <w:kern w:val="24"/>
                <w:sz w:val="16"/>
                <w:szCs w:val="16"/>
                <w:lang w:eastAsia="en-GB"/>
                <w14:ligatures w14:val="none"/>
              </w:rPr>
              <w:t>fulfill</w:t>
            </w:r>
            <w:proofErr w:type="spellEnd"/>
            <w:r w:rsidR="008A62DD">
              <w:rPr>
                <w:rFonts w:ascii="Poppins" w:eastAsia="Times New Roman" w:hAnsi="Poppins" w:cs="Poppins"/>
                <w:color w:val="000000"/>
                <w:kern w:val="24"/>
                <w:sz w:val="16"/>
                <w:szCs w:val="16"/>
                <w:lang w:eastAsia="en-GB"/>
                <w14:ligatures w14:val="none"/>
              </w:rPr>
              <w:t xml:space="preserve"> this requirement is still under consideration,  and will be part of the final design of the reform.</w:t>
            </w:r>
          </w:p>
        </w:tc>
      </w:tr>
      <w:tr w:rsidR="00D01B47" w:rsidRPr="000652EE" w14:paraId="282F7F14" w14:textId="77777777" w:rsidTr="53AFA2D0">
        <w:trPr>
          <w:trHeight w:val="973"/>
        </w:trPr>
        <w:tc>
          <w:tcPr>
            <w:tcW w:w="15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A3864" w:themeFill="accent2"/>
            <w:tcMar>
              <w:top w:w="15" w:type="dxa"/>
              <w:left w:w="108" w:type="dxa"/>
              <w:bottom w:w="0" w:type="dxa"/>
              <w:right w:w="108" w:type="dxa"/>
            </w:tcMar>
            <w:vAlign w:val="center"/>
          </w:tcPr>
          <w:p w14:paraId="41D79FBD" w14:textId="77777777" w:rsidR="00D01B47" w:rsidRPr="000652EE" w:rsidRDefault="00D01B47">
            <w:pPr>
              <w:spacing w:after="120" w:line="240" w:lineRule="auto"/>
              <w:rPr>
                <w:rFonts w:ascii="Poppins" w:eastAsia="Times New Roman" w:hAnsi="Poppins" w:cs="Poppins"/>
                <w:b/>
                <w:color w:val="FFFFFF"/>
                <w:kern w:val="24"/>
                <w:sz w:val="16"/>
                <w:szCs w:val="16"/>
                <w:lang w:eastAsia="en-GB"/>
                <w14:ligatures w14:val="none"/>
              </w:rPr>
            </w:pPr>
            <w:r w:rsidRPr="000652EE">
              <w:rPr>
                <w:rFonts w:ascii="Poppins" w:eastAsia="Times New Roman" w:hAnsi="Poppins" w:cs="Poppins"/>
                <w:b/>
                <w:color w:val="FFFFFF"/>
                <w:kern w:val="24"/>
                <w:sz w:val="16"/>
                <w:szCs w:val="16"/>
                <w:lang w:eastAsia="en-GB"/>
                <w14:ligatures w14:val="none"/>
              </w:rPr>
              <w:t>Phasing</w:t>
            </w:r>
          </w:p>
        </w:tc>
        <w:tc>
          <w:tcPr>
            <w:tcW w:w="264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AED"/>
            <w:tcMar>
              <w:top w:w="15" w:type="dxa"/>
              <w:left w:w="108" w:type="dxa"/>
              <w:bottom w:w="0" w:type="dxa"/>
              <w:right w:w="108" w:type="dxa"/>
            </w:tcMar>
            <w:vAlign w:val="center"/>
          </w:tcPr>
          <w:p w14:paraId="0817F426" w14:textId="77777777" w:rsidR="00D01B47" w:rsidRPr="000652EE" w:rsidRDefault="00D01B47">
            <w:pPr>
              <w:spacing w:after="120" w:line="240" w:lineRule="auto"/>
              <w:rPr>
                <w:rFonts w:ascii="Poppins" w:eastAsia="Aptos" w:hAnsi="Poppins" w:cs="Poppins"/>
                <w:color w:val="000000"/>
                <w:kern w:val="24"/>
                <w:sz w:val="16"/>
                <w:szCs w:val="16"/>
                <w:lang w:eastAsia="en-GB"/>
                <w14:ligatures w14:val="none"/>
              </w:rPr>
            </w:pPr>
            <w:r w:rsidRPr="000652EE">
              <w:rPr>
                <w:rFonts w:ascii="Poppins" w:eastAsia="Aptos" w:hAnsi="Poppins" w:cs="Poppins"/>
                <w:color w:val="000000"/>
                <w:kern w:val="24"/>
                <w:sz w:val="16"/>
                <w:szCs w:val="16"/>
                <w:lang w:eastAsia="en-GB"/>
                <w14:ligatures w14:val="none"/>
              </w:rPr>
              <w:t>In scope from 2032 as part of phase 3, however voluntary participation is welcome prior to the application of mandatory retrospectivity.</w:t>
            </w:r>
          </w:p>
        </w:tc>
        <w:tc>
          <w:tcPr>
            <w:tcW w:w="250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AED"/>
            <w:tcMar>
              <w:top w:w="15" w:type="dxa"/>
              <w:left w:w="108" w:type="dxa"/>
              <w:bottom w:w="0" w:type="dxa"/>
              <w:right w:w="108" w:type="dxa"/>
            </w:tcMar>
            <w:vAlign w:val="center"/>
          </w:tcPr>
          <w:p w14:paraId="19FE0B28" w14:textId="77777777" w:rsidR="00D01B47" w:rsidRPr="000652EE" w:rsidRDefault="00D01B47">
            <w:pPr>
              <w:spacing w:after="120" w:line="240" w:lineRule="auto"/>
              <w:rPr>
                <w:rFonts w:ascii="Poppins" w:eastAsia="Aptos" w:hAnsi="Poppins" w:cs="Poppins"/>
                <w:color w:val="000000"/>
                <w:kern w:val="24"/>
                <w:sz w:val="16"/>
                <w:szCs w:val="16"/>
                <w:lang w:eastAsia="en-GB"/>
                <w14:ligatures w14:val="none"/>
              </w:rPr>
            </w:pPr>
            <w:r w:rsidRPr="000652EE">
              <w:rPr>
                <w:rFonts w:ascii="Poppins" w:eastAsia="Aptos" w:hAnsi="Poppins" w:cs="Poppins"/>
                <w:color w:val="000000"/>
                <w:kern w:val="24"/>
                <w:sz w:val="16"/>
                <w:szCs w:val="16"/>
                <w:lang w:eastAsia="en-GB"/>
                <w14:ligatures w14:val="none"/>
              </w:rPr>
              <w:t xml:space="preserve">Phase 1: </w:t>
            </w:r>
            <w:r w:rsidRPr="000652EE">
              <w:rPr>
                <w:rFonts w:ascii="Poppins" w:eastAsia="Times New Roman" w:hAnsi="Poppins" w:cs="Poppins"/>
                <w:color w:val="000000"/>
                <w:kern w:val="24"/>
                <w:sz w:val="16"/>
                <w:szCs w:val="16"/>
                <w:lang w:eastAsia="en-GB"/>
                <w14:ligatures w14:val="none"/>
              </w:rPr>
              <w:t>≥3</w:t>
            </w:r>
            <w:r w:rsidRPr="000652EE">
              <w:rPr>
                <w:rFonts w:ascii="Poppins" w:eastAsia="Aptos" w:hAnsi="Poppins" w:cs="Poppins"/>
                <w:color w:val="000000"/>
                <w:kern w:val="24"/>
                <w:sz w:val="16"/>
                <w:szCs w:val="16"/>
                <w:lang w:eastAsia="en-GB"/>
                <w14:ligatures w14:val="none"/>
              </w:rPr>
              <w:t>0MW from 2029</w:t>
            </w:r>
          </w:p>
          <w:p w14:paraId="41FEBD98" w14:textId="77777777" w:rsidR="00D01B47" w:rsidRPr="000652EE" w:rsidRDefault="00D01B47">
            <w:pPr>
              <w:spacing w:after="120" w:line="240" w:lineRule="auto"/>
              <w:rPr>
                <w:rFonts w:ascii="Poppins" w:eastAsia="Aptos" w:hAnsi="Poppins" w:cs="Poppins"/>
                <w:color w:val="000000"/>
                <w:kern w:val="24"/>
                <w:sz w:val="16"/>
                <w:szCs w:val="16"/>
                <w:lang w:eastAsia="en-GB"/>
                <w14:ligatures w14:val="none"/>
              </w:rPr>
            </w:pPr>
            <w:r w:rsidRPr="000652EE">
              <w:rPr>
                <w:rFonts w:ascii="Poppins" w:eastAsia="Aptos" w:hAnsi="Poppins" w:cs="Poppins"/>
                <w:color w:val="000000"/>
                <w:kern w:val="24"/>
                <w:sz w:val="16"/>
                <w:szCs w:val="16"/>
                <w:lang w:eastAsia="en-GB"/>
                <w14:ligatures w14:val="none"/>
              </w:rPr>
              <w:t xml:space="preserve">Phase 2: </w:t>
            </w:r>
            <w:r w:rsidRPr="000652EE">
              <w:rPr>
                <w:rFonts w:ascii="Poppins" w:eastAsia="Times New Roman" w:hAnsi="Poppins" w:cs="Poppins"/>
                <w:color w:val="000000"/>
                <w:kern w:val="24"/>
                <w:sz w:val="16"/>
                <w:szCs w:val="16"/>
                <w:lang w:eastAsia="en-GB"/>
                <w14:ligatures w14:val="none"/>
              </w:rPr>
              <w:t>≥1</w:t>
            </w:r>
            <w:r w:rsidRPr="000652EE">
              <w:rPr>
                <w:rFonts w:ascii="Poppins" w:eastAsia="Aptos" w:hAnsi="Poppins" w:cs="Poppins"/>
                <w:color w:val="000000"/>
                <w:kern w:val="24"/>
                <w:sz w:val="16"/>
                <w:szCs w:val="16"/>
                <w:lang w:eastAsia="en-GB"/>
                <w14:ligatures w14:val="none"/>
              </w:rPr>
              <w:t>0MW from 2030</w:t>
            </w:r>
          </w:p>
        </w:tc>
        <w:tc>
          <w:tcPr>
            <w:tcW w:w="27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7EAED"/>
            <w:tcMar>
              <w:top w:w="15" w:type="dxa"/>
              <w:left w:w="108" w:type="dxa"/>
              <w:bottom w:w="0" w:type="dxa"/>
              <w:right w:w="108" w:type="dxa"/>
            </w:tcMar>
            <w:vAlign w:val="center"/>
          </w:tcPr>
          <w:p w14:paraId="64BC55AB" w14:textId="77777777" w:rsidR="00D01B47" w:rsidRPr="000652EE" w:rsidRDefault="00D01B47">
            <w:pPr>
              <w:spacing w:after="120" w:line="240" w:lineRule="auto"/>
              <w:rPr>
                <w:rFonts w:ascii="Poppins" w:eastAsia="Times New Roman" w:hAnsi="Poppins" w:cs="Poppins"/>
                <w:color w:val="000000"/>
                <w:kern w:val="24"/>
                <w:sz w:val="16"/>
                <w:szCs w:val="16"/>
                <w:lang w:eastAsia="en-GB"/>
                <w14:ligatures w14:val="none"/>
              </w:rPr>
            </w:pPr>
            <w:r w:rsidRPr="000652EE">
              <w:rPr>
                <w:rFonts w:ascii="Poppins" w:eastAsia="Aptos" w:hAnsi="Poppins" w:cs="Poppins"/>
                <w:color w:val="000000"/>
                <w:kern w:val="24"/>
                <w:sz w:val="16"/>
                <w:szCs w:val="16"/>
                <w:lang w:eastAsia="en-GB"/>
                <w14:ligatures w14:val="none"/>
              </w:rPr>
              <w:t>In scope from 2032 as part of phase 3</w:t>
            </w:r>
          </w:p>
        </w:tc>
      </w:tr>
      <w:tr w:rsidR="00D01B47" w:rsidRPr="000652EE" w14:paraId="7976C0B6" w14:textId="77777777" w:rsidTr="53AFA2D0">
        <w:trPr>
          <w:trHeight w:val="973"/>
        </w:trPr>
        <w:tc>
          <w:tcPr>
            <w:tcW w:w="155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7A3864" w:themeFill="accent2"/>
            <w:tcMar>
              <w:top w:w="15" w:type="dxa"/>
              <w:left w:w="108" w:type="dxa"/>
              <w:bottom w:w="0" w:type="dxa"/>
              <w:right w:w="108" w:type="dxa"/>
            </w:tcMar>
            <w:vAlign w:val="center"/>
          </w:tcPr>
          <w:p w14:paraId="412AE2B4" w14:textId="77777777" w:rsidR="00D01B47" w:rsidRPr="000652EE" w:rsidRDefault="00D01B47">
            <w:pPr>
              <w:spacing w:after="120" w:line="240" w:lineRule="auto"/>
              <w:rPr>
                <w:rFonts w:ascii="Poppins" w:eastAsia="Times New Roman" w:hAnsi="Poppins" w:cs="Poppins"/>
                <w:b/>
                <w:color w:val="FFFFFF"/>
                <w:kern w:val="24"/>
                <w:sz w:val="16"/>
                <w:szCs w:val="16"/>
                <w:lang w:eastAsia="en-GB"/>
                <w14:ligatures w14:val="none"/>
              </w:rPr>
            </w:pPr>
            <w:r w:rsidRPr="000652EE">
              <w:rPr>
                <w:rFonts w:ascii="Poppins" w:eastAsia="Times New Roman" w:hAnsi="Poppins" w:cs="Poppins"/>
                <w:b/>
                <w:color w:val="FFFFFF"/>
                <w:kern w:val="24"/>
                <w:sz w:val="16"/>
                <w:szCs w:val="16"/>
                <w:lang w:eastAsia="en-GB"/>
                <w14:ligatures w14:val="none"/>
              </w:rPr>
              <w:t>Implementation considerations</w:t>
            </w:r>
          </w:p>
        </w:tc>
        <w:tc>
          <w:tcPr>
            <w:tcW w:w="2642"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2D8"/>
            <w:tcMar>
              <w:top w:w="15" w:type="dxa"/>
              <w:left w:w="108" w:type="dxa"/>
              <w:bottom w:w="0" w:type="dxa"/>
              <w:right w:w="108" w:type="dxa"/>
            </w:tcMar>
            <w:vAlign w:val="center"/>
          </w:tcPr>
          <w:p w14:paraId="2547F553" w14:textId="77777777" w:rsidR="00D01B47" w:rsidRPr="000652EE" w:rsidRDefault="00D01B47">
            <w:pPr>
              <w:spacing w:after="120" w:line="240" w:lineRule="auto"/>
              <w:rPr>
                <w:rFonts w:ascii="Poppins" w:eastAsia="Aptos" w:hAnsi="Poppins" w:cs="Poppins"/>
                <w:color w:val="000000"/>
                <w:kern w:val="24"/>
                <w:sz w:val="16"/>
                <w:szCs w:val="16"/>
                <w:lang w:eastAsia="en-GB"/>
                <w14:ligatures w14:val="none"/>
              </w:rPr>
            </w:pPr>
            <w:r w:rsidRPr="000652EE">
              <w:rPr>
                <w:rFonts w:ascii="Poppins" w:eastAsia="Aptos" w:hAnsi="Poppins" w:cs="Poppins"/>
                <w:color w:val="000000"/>
                <w:kern w:val="24"/>
                <w:sz w:val="16"/>
                <w:szCs w:val="16"/>
                <w:lang w:eastAsia="en-GB"/>
                <w14:ligatures w14:val="none"/>
              </w:rPr>
              <w:t>Final tranche of process changes delivered prior to phase 3.</w:t>
            </w:r>
          </w:p>
          <w:p w14:paraId="549B3423" w14:textId="77777777" w:rsidR="00D01B47" w:rsidRPr="000652EE" w:rsidRDefault="00D01B47">
            <w:pPr>
              <w:spacing w:after="120" w:line="240" w:lineRule="auto"/>
              <w:rPr>
                <w:rFonts w:ascii="Poppins" w:eastAsia="Aptos" w:hAnsi="Poppins" w:cs="Poppins"/>
                <w:color w:val="000000"/>
                <w:kern w:val="24"/>
                <w:sz w:val="16"/>
                <w:szCs w:val="16"/>
                <w:lang w:eastAsia="en-GB"/>
                <w14:ligatures w14:val="none"/>
              </w:rPr>
            </w:pPr>
            <w:r w:rsidRPr="000652EE">
              <w:rPr>
                <w:rFonts w:ascii="Poppins" w:eastAsia="Aptos" w:hAnsi="Poppins" w:cs="Poppins"/>
                <w:color w:val="000000"/>
                <w:kern w:val="24"/>
                <w:sz w:val="16"/>
                <w:szCs w:val="16"/>
                <w:lang w:eastAsia="en-GB"/>
                <w14:ligatures w14:val="none"/>
              </w:rPr>
              <w:t>A programme must be in place to manage retrospective migration of assets.</w:t>
            </w:r>
          </w:p>
        </w:tc>
        <w:tc>
          <w:tcPr>
            <w:tcW w:w="250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2D8"/>
            <w:tcMar>
              <w:top w:w="15" w:type="dxa"/>
              <w:left w:w="108" w:type="dxa"/>
              <w:bottom w:w="0" w:type="dxa"/>
              <w:right w:w="108" w:type="dxa"/>
            </w:tcMar>
            <w:vAlign w:val="center"/>
          </w:tcPr>
          <w:p w14:paraId="612C0B63" w14:textId="77777777" w:rsidR="00D01B47" w:rsidRPr="000652EE" w:rsidRDefault="00D01B47">
            <w:pPr>
              <w:spacing w:after="120" w:line="240" w:lineRule="auto"/>
              <w:rPr>
                <w:rFonts w:ascii="Poppins" w:eastAsia="Aptos" w:hAnsi="Poppins" w:cs="Poppins"/>
                <w:color w:val="000000"/>
                <w:kern w:val="24"/>
                <w:sz w:val="16"/>
                <w:szCs w:val="16"/>
                <w:lang w:eastAsia="en-GB"/>
                <w14:ligatures w14:val="none"/>
              </w:rPr>
            </w:pPr>
            <w:r w:rsidRPr="000652EE">
              <w:rPr>
                <w:rFonts w:ascii="Poppins" w:eastAsia="Aptos" w:hAnsi="Poppins" w:cs="Poppins"/>
                <w:color w:val="000000"/>
                <w:kern w:val="24"/>
                <w:sz w:val="16"/>
                <w:szCs w:val="16"/>
                <w:lang w:eastAsia="en-GB"/>
                <w14:ligatures w14:val="none"/>
              </w:rPr>
              <w:t>OBP will be fully operational prior to phase 1. It is expected that some system changes will be implemented prior to phase 2, with all implemented prior to phase 3.</w:t>
            </w:r>
          </w:p>
          <w:p w14:paraId="71BDCBA6" w14:textId="77777777" w:rsidR="00D01B47" w:rsidRPr="000652EE" w:rsidRDefault="00D01B47">
            <w:pPr>
              <w:spacing w:after="120" w:line="240" w:lineRule="auto"/>
              <w:rPr>
                <w:rFonts w:ascii="Poppins" w:eastAsia="Aptos" w:hAnsi="Poppins" w:cs="Poppins"/>
                <w:color w:val="000000"/>
                <w:kern w:val="24"/>
                <w:sz w:val="16"/>
                <w:szCs w:val="16"/>
                <w:lang w:eastAsia="en-GB"/>
                <w14:ligatures w14:val="none"/>
              </w:rPr>
            </w:pPr>
            <w:r w:rsidRPr="53AFA2D0">
              <w:rPr>
                <w:rFonts w:ascii="Poppins" w:eastAsia="Aptos" w:hAnsi="Poppins" w:cs="Poppins"/>
                <w:color w:val="000000"/>
                <w:kern w:val="24"/>
                <w:sz w:val="16"/>
                <w:szCs w:val="16"/>
                <w:lang w:eastAsia="en-GB"/>
                <w14:ligatures w14:val="none"/>
              </w:rPr>
              <w:t xml:space="preserve">Consideration of how to manage changes to existing connection offers to ensure parties have support to meet BM registration requirements.  </w:t>
            </w:r>
          </w:p>
        </w:tc>
        <w:tc>
          <w:tcPr>
            <w:tcW w:w="27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CD2D8"/>
            <w:tcMar>
              <w:top w:w="15" w:type="dxa"/>
              <w:left w:w="108" w:type="dxa"/>
              <w:bottom w:w="0" w:type="dxa"/>
              <w:right w:w="108" w:type="dxa"/>
            </w:tcMar>
            <w:vAlign w:val="center"/>
          </w:tcPr>
          <w:p w14:paraId="193A94B8" w14:textId="77777777" w:rsidR="00D01B47" w:rsidRPr="000652EE" w:rsidRDefault="00D01B47">
            <w:pPr>
              <w:spacing w:after="120" w:line="240" w:lineRule="auto"/>
              <w:rPr>
                <w:rFonts w:ascii="Poppins" w:eastAsia="Aptos" w:hAnsi="Poppins" w:cs="Poppins"/>
                <w:color w:val="000000"/>
                <w:kern w:val="24"/>
                <w:sz w:val="16"/>
                <w:szCs w:val="16"/>
                <w:lang w:eastAsia="en-GB"/>
                <w14:ligatures w14:val="none"/>
              </w:rPr>
            </w:pPr>
            <w:r w:rsidRPr="000652EE">
              <w:rPr>
                <w:rFonts w:ascii="Poppins" w:eastAsia="Aptos" w:hAnsi="Poppins" w:cs="Poppins"/>
                <w:color w:val="000000"/>
                <w:kern w:val="24"/>
                <w:sz w:val="16"/>
                <w:szCs w:val="16"/>
                <w:lang w:eastAsia="en-GB"/>
                <w14:ligatures w14:val="none"/>
              </w:rPr>
              <w:t>Final tranche of process changes delivered prior to phase 3.</w:t>
            </w:r>
          </w:p>
          <w:p w14:paraId="77682298" w14:textId="77777777" w:rsidR="00D01B47" w:rsidRPr="000652EE" w:rsidRDefault="00D01B47">
            <w:pPr>
              <w:spacing w:after="120" w:line="240" w:lineRule="auto"/>
              <w:rPr>
                <w:rFonts w:ascii="Poppins" w:eastAsia="Aptos" w:hAnsi="Poppins" w:cs="Poppins"/>
                <w:color w:val="000000"/>
                <w:kern w:val="24"/>
                <w:sz w:val="16"/>
                <w:szCs w:val="16"/>
                <w:lang w:eastAsia="en-GB"/>
                <w14:ligatures w14:val="none"/>
              </w:rPr>
            </w:pPr>
            <w:r w:rsidRPr="000652EE">
              <w:rPr>
                <w:rFonts w:ascii="Poppins" w:eastAsia="Aptos" w:hAnsi="Poppins" w:cs="Poppins"/>
                <w:color w:val="000000"/>
                <w:kern w:val="24"/>
                <w:sz w:val="16"/>
                <w:szCs w:val="16"/>
                <w:lang w:eastAsia="en-GB"/>
                <w14:ligatures w14:val="none"/>
              </w:rPr>
              <w:t xml:space="preserve">Primacy rules </w:t>
            </w:r>
            <w:r>
              <w:rPr>
                <w:rFonts w:ascii="Poppins" w:eastAsia="Aptos" w:hAnsi="Poppins" w:cs="Poppins"/>
                <w:color w:val="000000"/>
                <w:kern w:val="24"/>
                <w:sz w:val="16"/>
                <w:szCs w:val="16"/>
                <w:lang w:eastAsia="en-GB"/>
                <w14:ligatures w14:val="none"/>
              </w:rPr>
              <w:t>should</w:t>
            </w:r>
            <w:r w:rsidRPr="000652EE">
              <w:rPr>
                <w:rFonts w:ascii="Poppins" w:eastAsia="Aptos" w:hAnsi="Poppins" w:cs="Poppins"/>
                <w:color w:val="000000"/>
                <w:kern w:val="24"/>
                <w:sz w:val="16"/>
                <w:szCs w:val="16"/>
                <w:lang w:eastAsia="en-GB"/>
                <w14:ligatures w14:val="none"/>
              </w:rPr>
              <w:t xml:space="preserve"> be agreed and codified prior to phase 3.</w:t>
            </w:r>
          </w:p>
          <w:p w14:paraId="7104138F" w14:textId="77777777" w:rsidR="00D01B47" w:rsidRPr="000652EE" w:rsidRDefault="00D01B47">
            <w:pPr>
              <w:spacing w:after="120" w:line="240" w:lineRule="auto"/>
              <w:rPr>
                <w:rFonts w:ascii="Poppins" w:eastAsia="Aptos" w:hAnsi="Poppins" w:cs="Poppins"/>
                <w:color w:val="000000"/>
                <w:kern w:val="24"/>
                <w:sz w:val="16"/>
                <w:szCs w:val="16"/>
                <w:lang w:eastAsia="en-GB"/>
                <w14:ligatures w14:val="none"/>
              </w:rPr>
            </w:pPr>
            <w:r w:rsidRPr="000652EE">
              <w:rPr>
                <w:rFonts w:ascii="Poppins" w:eastAsia="Aptos" w:hAnsi="Poppins" w:cs="Poppins"/>
                <w:color w:val="000000"/>
                <w:kern w:val="24"/>
                <w:sz w:val="16"/>
                <w:szCs w:val="16"/>
                <w:lang w:eastAsia="en-GB"/>
                <w14:ligatures w14:val="none"/>
              </w:rPr>
              <w:t>Aggregation rules must be agreed.</w:t>
            </w:r>
          </w:p>
          <w:p w14:paraId="446F35FB" w14:textId="77777777" w:rsidR="00D01B47" w:rsidRPr="000652EE" w:rsidRDefault="00D01B47">
            <w:pPr>
              <w:spacing w:after="120" w:line="240" w:lineRule="auto"/>
              <w:rPr>
                <w:rFonts w:ascii="Poppins" w:eastAsia="Aptos" w:hAnsi="Poppins" w:cs="Poppins"/>
                <w:color w:val="000000"/>
                <w:kern w:val="24"/>
                <w:sz w:val="16"/>
                <w:szCs w:val="16"/>
                <w:lang w:eastAsia="en-GB"/>
                <w14:ligatures w14:val="none"/>
              </w:rPr>
            </w:pPr>
            <w:r w:rsidRPr="000652EE">
              <w:rPr>
                <w:rFonts w:ascii="Poppins" w:eastAsia="Aptos" w:hAnsi="Poppins" w:cs="Poppins"/>
                <w:color w:val="000000"/>
                <w:kern w:val="24"/>
                <w:sz w:val="16"/>
                <w:szCs w:val="16"/>
                <w:lang w:eastAsia="en-GB"/>
                <w14:ligatures w14:val="none"/>
              </w:rPr>
              <w:t>Industry engagement programme must be in progress.</w:t>
            </w:r>
          </w:p>
        </w:tc>
      </w:tr>
    </w:tbl>
    <w:p w14:paraId="34059945" w14:textId="77777777" w:rsidR="00D01B47" w:rsidRDefault="00D01B47" w:rsidP="00D01B47">
      <w:pPr>
        <w:pStyle w:val="BodyText"/>
        <w:jc w:val="both"/>
        <w:rPr>
          <w:b/>
        </w:rPr>
      </w:pPr>
    </w:p>
    <w:p w14:paraId="1425C216" w14:textId="4C1746D8" w:rsidR="003800A0" w:rsidRPr="003800A0" w:rsidRDefault="001E0B63" w:rsidP="00835489">
      <w:pPr>
        <w:pStyle w:val="BodyText"/>
      </w:pPr>
      <w:r>
        <w:rPr>
          <w:b/>
          <w:bCs/>
        </w:rPr>
        <w:t xml:space="preserve"> Implementation Phasing</w:t>
      </w:r>
    </w:p>
    <w:p w14:paraId="1593C6D8" w14:textId="77777777" w:rsidR="001E0B63" w:rsidRPr="001E0B63" w:rsidRDefault="001E0B63" w:rsidP="00835489">
      <w:pPr>
        <w:numPr>
          <w:ilvl w:val="0"/>
          <w:numId w:val="25"/>
        </w:numPr>
        <w:spacing w:after="120" w:line="240" w:lineRule="auto"/>
        <w:rPr>
          <w:rFonts w:ascii="Poppins" w:hAnsi="Poppins"/>
          <w:color w:val="000000" w:themeColor="text1"/>
          <w:kern w:val="0"/>
          <w:sz w:val="20"/>
          <w:szCs w:val="20"/>
          <w14:ligatures w14:val="none"/>
        </w:rPr>
      </w:pPr>
      <w:r w:rsidRPr="001E0B63">
        <w:rPr>
          <w:rFonts w:ascii="Poppins" w:hAnsi="Poppins"/>
          <w:color w:val="000000" w:themeColor="text1"/>
          <w:kern w:val="0"/>
          <w:sz w:val="20"/>
          <w:szCs w:val="20"/>
          <w14:ligatures w14:val="none"/>
        </w:rPr>
        <w:t>Phase 1 will cover all newly connected assets 30MW and above with connection date from 2029.</w:t>
      </w:r>
    </w:p>
    <w:p w14:paraId="61401BAB" w14:textId="77777777" w:rsidR="001E0B63" w:rsidRPr="001E0B63" w:rsidRDefault="001E0B63" w:rsidP="00835489">
      <w:pPr>
        <w:numPr>
          <w:ilvl w:val="0"/>
          <w:numId w:val="25"/>
        </w:numPr>
        <w:spacing w:after="120" w:line="240" w:lineRule="auto"/>
        <w:rPr>
          <w:rFonts w:ascii="Poppins" w:hAnsi="Poppins"/>
          <w:color w:val="000000" w:themeColor="text1"/>
          <w:kern w:val="0"/>
          <w:sz w:val="20"/>
          <w:szCs w:val="20"/>
          <w14:ligatures w14:val="none"/>
        </w:rPr>
      </w:pPr>
      <w:r w:rsidRPr="001E0B63">
        <w:rPr>
          <w:rFonts w:ascii="Poppins" w:hAnsi="Poppins"/>
          <w:color w:val="000000" w:themeColor="text1"/>
          <w:kern w:val="0"/>
          <w:sz w:val="20"/>
          <w:szCs w:val="20"/>
          <w14:ligatures w14:val="none"/>
        </w:rPr>
        <w:t>Phase 2 will cover all newly connected assets 10MW and above with connection date from 2030.</w:t>
      </w:r>
    </w:p>
    <w:p w14:paraId="0C33F16D" w14:textId="533B419C" w:rsidR="000652EE" w:rsidRPr="00A513CA" w:rsidRDefault="001E0B63" w:rsidP="00835489">
      <w:pPr>
        <w:numPr>
          <w:ilvl w:val="0"/>
          <w:numId w:val="25"/>
        </w:numPr>
        <w:spacing w:after="120" w:line="240" w:lineRule="auto"/>
        <w:rPr>
          <w:rFonts w:ascii="Poppins" w:hAnsi="Poppins"/>
          <w:color w:val="000000" w:themeColor="text1"/>
          <w:kern w:val="0"/>
          <w:sz w:val="20"/>
          <w:szCs w:val="20"/>
          <w14:ligatures w14:val="none"/>
        </w:rPr>
      </w:pPr>
      <w:r w:rsidRPr="001E0B63">
        <w:rPr>
          <w:rFonts w:ascii="Poppins" w:hAnsi="Poppins"/>
          <w:color w:val="000000" w:themeColor="text1"/>
          <w:kern w:val="0"/>
          <w:sz w:val="20"/>
          <w:szCs w:val="20"/>
          <w14:ligatures w14:val="none"/>
        </w:rPr>
        <w:t>Phase 3 will cover the smaller assets and retrospective assets from 2032.</w:t>
      </w:r>
    </w:p>
    <w:p w14:paraId="48A66713" w14:textId="5D553DFD" w:rsidR="00AB768B" w:rsidRPr="00AB768B" w:rsidRDefault="00AB768B" w:rsidP="00835489">
      <w:pPr>
        <w:pStyle w:val="BodyText"/>
        <w:rPr>
          <w:b/>
          <w:bCs/>
        </w:rPr>
      </w:pPr>
      <w:r w:rsidRPr="00AB768B">
        <w:rPr>
          <w:b/>
          <w:bCs/>
        </w:rPr>
        <w:t>Contractual and Metering Arrangements</w:t>
      </w:r>
    </w:p>
    <w:p w14:paraId="590E9E42" w14:textId="1894A2C1" w:rsidR="00AB768B" w:rsidRDefault="00AB768B" w:rsidP="00835489">
      <w:pPr>
        <w:pStyle w:val="BodyText"/>
        <w:numPr>
          <w:ilvl w:val="0"/>
          <w:numId w:val="28"/>
        </w:numPr>
      </w:pPr>
      <w:r>
        <w:t xml:space="preserve">The proposed Lower BM framework would introduce a new connection contract, similar to a </w:t>
      </w:r>
      <w:r w:rsidRPr="00AB768B">
        <w:t>Bilateral Embedded Generation Agreement</w:t>
      </w:r>
      <w:r>
        <w:t xml:space="preserve"> (BEGA), for participating assets. This contract would establish the operational obligations associated with Lower BM participation, including the provision of operational data and compliance with participation requirements.</w:t>
      </w:r>
      <w:r w:rsidR="005D559F">
        <w:t xml:space="preserve"> </w:t>
      </w:r>
    </w:p>
    <w:p w14:paraId="741A5740" w14:textId="77777777" w:rsidR="00AB768B" w:rsidRDefault="00AB768B" w:rsidP="00835489">
      <w:pPr>
        <w:pStyle w:val="BodyText"/>
        <w:numPr>
          <w:ilvl w:val="0"/>
          <w:numId w:val="28"/>
        </w:numPr>
      </w:pPr>
      <w:r>
        <w:t>The design seeks to minimise barriers to participation by allowing assets to retain either Central Volume Allocation (CVA) or Supplier Volume Allocation (SVA) metering arrangements for settlement purposes, rather than requiring all participants to transition to CVA metering.</w:t>
      </w:r>
    </w:p>
    <w:p w14:paraId="78AC6DB2" w14:textId="77777777" w:rsidR="00AB768B" w:rsidRDefault="00AB768B" w:rsidP="00835489">
      <w:pPr>
        <w:pStyle w:val="BodyText"/>
        <w:numPr>
          <w:ilvl w:val="0"/>
          <w:numId w:val="28"/>
        </w:numPr>
      </w:pPr>
      <w:r>
        <w:t>The proposed approach aims to support wider participation in the BM while reducing the need for costly metering changes, particularly for smaller and distributed energy resources.</w:t>
      </w:r>
    </w:p>
    <w:p w14:paraId="7AE40DE6" w14:textId="751616E6" w:rsidR="00AB768B" w:rsidRDefault="00AB768B" w:rsidP="00835489">
      <w:pPr>
        <w:pStyle w:val="BodyText"/>
        <w:numPr>
          <w:ilvl w:val="0"/>
          <w:numId w:val="28"/>
        </w:numPr>
      </w:pPr>
      <w:r>
        <w:t>The contractual framework remains under development, with further consideration being given to the detailed obligations, implementation requirements and interaction with existing connection and settlement arrangements.</w:t>
      </w:r>
    </w:p>
    <w:p w14:paraId="2DD842F4" w14:textId="6513373E" w:rsidR="004F3371" w:rsidRDefault="004F3371" w:rsidP="00835489">
      <w:pPr>
        <w:pStyle w:val="BodyText"/>
        <w:rPr>
          <w:b/>
          <w:bCs/>
        </w:rPr>
      </w:pPr>
      <w:r w:rsidRPr="004F3371">
        <w:rPr>
          <w:b/>
          <w:bCs/>
        </w:rPr>
        <w:t>CBA</w:t>
      </w:r>
    </w:p>
    <w:p w14:paraId="5ED414AC" w14:textId="4A02472C" w:rsidR="00E75E84" w:rsidRPr="00E75E84" w:rsidRDefault="00E75E84" w:rsidP="00835489">
      <w:pPr>
        <w:pStyle w:val="BodyText"/>
        <w:numPr>
          <w:ilvl w:val="0"/>
          <w:numId w:val="35"/>
        </w:numPr>
      </w:pPr>
      <w:r w:rsidRPr="00E75E84">
        <w:t xml:space="preserve">The CBA presented the hypothesis that expanding BM participation could reduce the volume of physical NIV chasing by bringing a greater proportion of flexible assets into the </w:t>
      </w:r>
      <w:r>
        <w:t>BM</w:t>
      </w:r>
      <w:r w:rsidRPr="00E75E84">
        <w:t>, thereby increasing transparency and competition in balancing actions.</w:t>
      </w:r>
    </w:p>
    <w:p w14:paraId="0929E4A0" w14:textId="77777777" w:rsidR="00E75E84" w:rsidRPr="00E75E84" w:rsidRDefault="00E75E84" w:rsidP="00835489">
      <w:pPr>
        <w:pStyle w:val="BodyText"/>
        <w:numPr>
          <w:ilvl w:val="0"/>
          <w:numId w:val="34"/>
        </w:numPr>
      </w:pPr>
      <w:r w:rsidRPr="00E75E84">
        <w:t>Baringa set out three principal benefit mechanisms for assessment: reduced energy imbalance costs, lower constraint management costs, and reduced reserve procurement costs arising from improved visibility of system conditions.</w:t>
      </w:r>
    </w:p>
    <w:p w14:paraId="2734954F" w14:textId="77777777" w:rsidR="00E75E84" w:rsidRPr="00E75E84" w:rsidRDefault="00E75E84" w:rsidP="00835489">
      <w:pPr>
        <w:pStyle w:val="BodyText"/>
        <w:numPr>
          <w:ilvl w:val="0"/>
          <w:numId w:val="34"/>
        </w:numPr>
      </w:pPr>
      <w:r w:rsidRPr="00E75E84">
        <w:t>Members were presented with the key assumptions underpinning the assessment, including future BM participation levels, BM onboarding capability, skip rates, primacy arrangements and the level of non-BMU NIV chasing in the counterfactual.</w:t>
      </w:r>
    </w:p>
    <w:p w14:paraId="331C028C" w14:textId="2750C09B" w:rsidR="00E75E84" w:rsidRPr="00E75E84" w:rsidRDefault="00E75E84" w:rsidP="00835489">
      <w:pPr>
        <w:pStyle w:val="BodyText"/>
        <w:numPr>
          <w:ilvl w:val="0"/>
          <w:numId w:val="34"/>
        </w:numPr>
      </w:pPr>
      <w:r w:rsidRPr="00E75E84">
        <w:t>The analysis highlighted that the scale of benefits is expected to depend on successful implementation, including improvements to BM registration processes, reductions in avoidable skip rates, effective primacy arrangements and enhanced use of operational data.</w:t>
      </w:r>
    </w:p>
    <w:p w14:paraId="60AFEC91" w14:textId="3868A1F4" w:rsidR="00E75E84" w:rsidRDefault="00E75E84" w:rsidP="00835489">
      <w:pPr>
        <w:pStyle w:val="BodyText"/>
        <w:rPr>
          <w:b/>
          <w:bCs/>
        </w:rPr>
      </w:pPr>
      <w:r>
        <w:rPr>
          <w:b/>
          <w:bCs/>
        </w:rPr>
        <w:t xml:space="preserve">Key IEP discussion points </w:t>
      </w:r>
    </w:p>
    <w:p w14:paraId="1ADC4212" w14:textId="51E9A74A" w:rsidR="00F3176D" w:rsidRDefault="00FF30CA" w:rsidP="00835489">
      <w:pPr>
        <w:pStyle w:val="BodyText"/>
        <w:numPr>
          <w:ilvl w:val="0"/>
          <w:numId w:val="36"/>
        </w:numPr>
      </w:pPr>
      <w:r w:rsidRPr="00FF30CA">
        <w:t xml:space="preserve">IEP members sought clarity on how aggregation would operate under Lower BM, including who could aggregate, the treatment of sub-threshold assets and the continuation of existing routes such as Secondary BM Units. Members also questioned whether the move towards greater asset-level visibility could place aggregated portfolios at a </w:t>
      </w:r>
      <w:r>
        <w:t>disadvantage</w:t>
      </w:r>
      <w:r w:rsidR="00F53025">
        <w:t>.</w:t>
      </w:r>
      <w:r w:rsidR="1252AF90">
        <w:t xml:space="preserve"> </w:t>
      </w:r>
      <w:r w:rsidR="00BC1D11" w:rsidRPr="00C44D68">
        <w:t>Further detail on aggregation arrangements, including eligibility, treatment of sub-threshold assets and aggregated portfolios, is provided in the table above.</w:t>
      </w:r>
      <w:r w:rsidR="147DCD01">
        <w:t xml:space="preserve"> </w:t>
      </w:r>
      <w:r w:rsidR="00F3176D" w:rsidRPr="00F3176D">
        <w:t xml:space="preserve">Stakeholders queried whether Lower BM could impact early connection opportunities for assets operating under </w:t>
      </w:r>
      <w:r w:rsidR="006C11D3">
        <w:t>Active Network Management (</w:t>
      </w:r>
      <w:r w:rsidR="00F3176D" w:rsidRPr="00F3176D">
        <w:t>ANM</w:t>
      </w:r>
      <w:r w:rsidR="006C11D3">
        <w:t>)</w:t>
      </w:r>
      <w:r w:rsidR="00F3176D" w:rsidRPr="00F3176D">
        <w:t xml:space="preserve"> or other constrained-access arrangements, due to potential limits on their ability to make capacity available to the BM.</w:t>
      </w:r>
    </w:p>
    <w:p w14:paraId="6A462877" w14:textId="338E11D6" w:rsidR="00DA3E10" w:rsidRDefault="00DA3E10" w:rsidP="00835489">
      <w:pPr>
        <w:pStyle w:val="BodyText"/>
        <w:numPr>
          <w:ilvl w:val="1"/>
          <w:numId w:val="36"/>
        </w:numPr>
      </w:pPr>
      <w:r w:rsidRPr="00DA3E10">
        <w:t xml:space="preserve">NESO noted the feedback and will provide further </w:t>
      </w:r>
      <w:r w:rsidR="00D03FA0" w:rsidRPr="00D03FA0">
        <w:t>clarity through the Target Operating Model (TOM) on</w:t>
      </w:r>
      <w:r w:rsidR="00D03FA0">
        <w:t xml:space="preserve"> how </w:t>
      </w:r>
      <w:r w:rsidRPr="00DA3E10">
        <w:t>Lower BM participation requirements and distribution-level technical limits, including assets connected under ANM arrangements.</w:t>
      </w:r>
    </w:p>
    <w:p w14:paraId="49CD9B35" w14:textId="202FF13B" w:rsidR="00E75E84" w:rsidRDefault="00E75E84" w:rsidP="00835489">
      <w:pPr>
        <w:pStyle w:val="BodyText"/>
        <w:numPr>
          <w:ilvl w:val="0"/>
          <w:numId w:val="36"/>
        </w:numPr>
      </w:pPr>
      <w:r>
        <w:t>Stakeholders welcomed the inclusion of demand-side participation and requested greater clarity on modelling assumptions relating to demand participation, network constraints and primacy arrangements.</w:t>
      </w:r>
      <w:r w:rsidR="00FF7157">
        <w:t xml:space="preserve"> </w:t>
      </w:r>
      <w:r w:rsidR="006B2188">
        <w:t xml:space="preserve">Following a </w:t>
      </w:r>
      <w:r w:rsidR="00FF7157">
        <w:t>clari</w:t>
      </w:r>
      <w:r w:rsidR="006B2188">
        <w:t>fication of</w:t>
      </w:r>
      <w:r w:rsidR="00FF7157">
        <w:t xml:space="preserve"> some of the points raised</w:t>
      </w:r>
      <w:r w:rsidR="006B2188">
        <w:t>:</w:t>
      </w:r>
    </w:p>
    <w:p w14:paraId="0A4FFE0C" w14:textId="0270CE16" w:rsidR="508EADD1" w:rsidRDefault="00FF7157" w:rsidP="00835489">
      <w:pPr>
        <w:pStyle w:val="BodyText"/>
        <w:numPr>
          <w:ilvl w:val="1"/>
          <w:numId w:val="36"/>
        </w:numPr>
      </w:pPr>
      <w:r>
        <w:t>T</w:t>
      </w:r>
      <w:r w:rsidR="70297D6D">
        <w:t xml:space="preserve">he methodology assumes </w:t>
      </w:r>
      <w:r w:rsidR="00F978E5">
        <w:t>Consumer-Led Flexibility (</w:t>
      </w:r>
      <w:r w:rsidR="70297D6D">
        <w:t>CLF</w:t>
      </w:r>
      <w:r w:rsidR="00F978E5">
        <w:t>)</w:t>
      </w:r>
      <w:r w:rsidR="70297D6D">
        <w:t xml:space="preserve"> primarily responds to wholesale market price signals through demand shifting in DA and ID markets</w:t>
      </w:r>
      <w:r w:rsidR="73249192">
        <w:t>.</w:t>
      </w:r>
      <w:r w:rsidR="70297D6D">
        <w:t xml:space="preserve"> </w:t>
      </w:r>
      <w:r w:rsidR="06002704">
        <w:t>The extent to which CLF participation in the BM influences the impacts of individual reforms is being tested through sensitivity analysis.</w:t>
      </w:r>
      <w:r w:rsidR="4DB47480">
        <w:t xml:space="preserve"> </w:t>
      </w:r>
      <w:r w:rsidR="508EADD1" w:rsidRPr="3874E080">
        <w:rPr>
          <w:rFonts w:eastAsia="Arial"/>
        </w:rPr>
        <w:t xml:space="preserve">CLF is </w:t>
      </w:r>
      <w:r w:rsidR="2462849D" w:rsidRPr="3874E080">
        <w:rPr>
          <w:rFonts w:eastAsia="Arial"/>
        </w:rPr>
        <w:t>being represented</w:t>
      </w:r>
      <w:r w:rsidR="2462849D" w:rsidRPr="698B7DD4">
        <w:rPr>
          <w:rFonts w:eastAsia="Arial"/>
        </w:rPr>
        <w:t xml:space="preserve"> </w:t>
      </w:r>
      <w:r w:rsidR="2462849D" w:rsidRPr="5E63A854">
        <w:rPr>
          <w:rFonts w:eastAsia="Arial"/>
        </w:rPr>
        <w:t>through</w:t>
      </w:r>
      <w:r w:rsidR="508EADD1" w:rsidRPr="044107CB">
        <w:rPr>
          <w:rFonts w:eastAsia="Arial"/>
        </w:rPr>
        <w:t xml:space="preserve"> following archetypes: EV, Heat pump</w:t>
      </w:r>
      <w:r w:rsidR="640D97DF" w:rsidRPr="044107CB">
        <w:rPr>
          <w:rFonts w:eastAsia="Arial"/>
        </w:rPr>
        <w:t xml:space="preserve">, </w:t>
      </w:r>
      <w:r w:rsidR="508EADD1" w:rsidRPr="044107CB">
        <w:rPr>
          <w:rFonts w:eastAsia="Arial"/>
        </w:rPr>
        <w:t>Data centre</w:t>
      </w:r>
      <w:r w:rsidR="0E741606" w:rsidRPr="044107CB">
        <w:rPr>
          <w:rFonts w:eastAsia="Arial"/>
        </w:rPr>
        <w:t>,</w:t>
      </w:r>
      <w:r w:rsidR="0E741606" w:rsidRPr="7A5E2488">
        <w:rPr>
          <w:rFonts w:eastAsia="Arial"/>
        </w:rPr>
        <w:t xml:space="preserve"> </w:t>
      </w:r>
      <w:r w:rsidR="508EADD1" w:rsidRPr="4FE224EF">
        <w:rPr>
          <w:rFonts w:eastAsia="Arial"/>
        </w:rPr>
        <w:t>Electrolyser</w:t>
      </w:r>
      <w:r w:rsidR="45AE7EE3" w:rsidRPr="69D96F39">
        <w:rPr>
          <w:rFonts w:eastAsia="Arial"/>
        </w:rPr>
        <w:t xml:space="preserve">, </w:t>
      </w:r>
      <w:r w:rsidR="508EADD1" w:rsidRPr="4FE224EF">
        <w:rPr>
          <w:rFonts w:eastAsia="Arial"/>
        </w:rPr>
        <w:t>Conventional residential/commercial</w:t>
      </w:r>
      <w:r w:rsidR="1F3F058C" w:rsidRPr="221FD01F">
        <w:rPr>
          <w:rFonts w:eastAsia="Arial"/>
        </w:rPr>
        <w:t xml:space="preserve"> consumers.</w:t>
      </w:r>
    </w:p>
    <w:p w14:paraId="4D2A409B" w14:textId="1EB1571B" w:rsidR="4A362840" w:rsidRDefault="4A362840" w:rsidP="00835489">
      <w:pPr>
        <w:pStyle w:val="BodyText"/>
        <w:numPr>
          <w:ilvl w:val="1"/>
          <w:numId w:val="36"/>
        </w:numPr>
      </w:pPr>
      <w:r>
        <w:t xml:space="preserve">Constraint costs are derived from power flows across a network representation aligned to </w:t>
      </w:r>
      <w:r w:rsidR="006B4521" w:rsidRPr="006B4521">
        <w:t>Electricity Ten Year Statement</w:t>
      </w:r>
      <w:r w:rsidR="006B4521">
        <w:t xml:space="preserve"> (</w:t>
      </w:r>
      <w:r>
        <w:t>ETYS</w:t>
      </w:r>
      <w:r w:rsidR="006B4521">
        <w:t>)</w:t>
      </w:r>
      <w:r>
        <w:t xml:space="preserve"> 2025 transmission boundary capabilities and planned reinforcements.</w:t>
      </w:r>
    </w:p>
    <w:p w14:paraId="2F12A4D7" w14:textId="53285372" w:rsidR="1438C707" w:rsidRDefault="14BDA066" w:rsidP="00835489">
      <w:pPr>
        <w:pStyle w:val="BodyText"/>
        <w:numPr>
          <w:ilvl w:val="1"/>
          <w:numId w:val="36"/>
        </w:numPr>
      </w:pPr>
      <w:r>
        <w:t>NESO is not expecting mandatory BM participation to adversely affect DSO flexibility markets, as main assumption is to have coordinated procurement and operation across both markets.</w:t>
      </w:r>
      <w:r w:rsidR="62613C82">
        <w:t xml:space="preserve"> </w:t>
      </w:r>
      <w:r w:rsidR="1438C707">
        <w:t xml:space="preserve">Assets </w:t>
      </w:r>
      <w:r w:rsidR="00397D5B">
        <w:t>subject to</w:t>
      </w:r>
      <w:r w:rsidR="1438C707">
        <w:t xml:space="preserve"> Active Network Management (ANM) </w:t>
      </w:r>
      <w:r w:rsidR="00397D5B">
        <w:t xml:space="preserve">constraints </w:t>
      </w:r>
      <w:r w:rsidR="1438C707">
        <w:t xml:space="preserve">may </w:t>
      </w:r>
      <w:r w:rsidR="00D42B12">
        <w:t>not be able to make their full capacity available to the BM</w:t>
      </w:r>
      <w:r w:rsidR="003D3042">
        <w:t>, which has been</w:t>
      </w:r>
      <w:r w:rsidR="1438C707">
        <w:t xml:space="preserve"> reflected through representative assumptions.</w:t>
      </w:r>
    </w:p>
    <w:p w14:paraId="19D1FBF0" w14:textId="56A41F0F" w:rsidR="00E75E84" w:rsidRDefault="00E75E84" w:rsidP="00835489">
      <w:pPr>
        <w:pStyle w:val="BodyText"/>
        <w:numPr>
          <w:ilvl w:val="0"/>
          <w:numId w:val="36"/>
        </w:numPr>
      </w:pPr>
      <w:r>
        <w:t>BM registration, onboarding capability and skip rates were identified as critical implementation dependencies for delivering the anticipated benefits.</w:t>
      </w:r>
      <w:r w:rsidR="006B2188">
        <w:t xml:space="preserve"> NESO is considering this as a key element of </w:t>
      </w:r>
      <w:r w:rsidR="00562C21">
        <w:t xml:space="preserve">its </w:t>
      </w:r>
      <w:r w:rsidR="00063A73">
        <w:t>implementation assessment</w:t>
      </w:r>
      <w:r w:rsidR="7BF9FE24">
        <w:t xml:space="preserve"> </w:t>
      </w:r>
      <w:r w:rsidR="00063A73">
        <w:t xml:space="preserve">and will be part of the implementation roadmap. </w:t>
      </w:r>
    </w:p>
    <w:p w14:paraId="112A787F" w14:textId="192C384A" w:rsidR="00E75E84" w:rsidRDefault="00E75E84" w:rsidP="00835489">
      <w:pPr>
        <w:pStyle w:val="BodyText"/>
        <w:numPr>
          <w:ilvl w:val="0"/>
          <w:numId w:val="36"/>
        </w:numPr>
      </w:pPr>
      <w:r>
        <w:t>Concerns were raised regarding the treatment of metering, communications and other implementation costs, particularly for smaller assets and DNOs.</w:t>
      </w:r>
      <w:r w:rsidR="009627AC">
        <w:t xml:space="preserve"> After the discussion NESO </w:t>
      </w:r>
      <w:r w:rsidR="00B648ED">
        <w:t>and Baringa have</w:t>
      </w:r>
      <w:r w:rsidR="009627AC">
        <w:t xml:space="preserve"> been engaging with DNOs to </w:t>
      </w:r>
      <w:r w:rsidR="00B648ED">
        <w:t>understand better their impacts and costs.</w:t>
      </w:r>
    </w:p>
    <w:p w14:paraId="717640D3" w14:textId="1329CE3E" w:rsidR="000C3461" w:rsidRDefault="000C3461" w:rsidP="00835489">
      <w:pPr>
        <w:pStyle w:val="BodyText"/>
        <w:numPr>
          <w:ilvl w:val="0"/>
          <w:numId w:val="36"/>
        </w:numPr>
      </w:pPr>
      <w:r>
        <w:t xml:space="preserve">Member discussed the value of </w:t>
      </w:r>
      <w:r w:rsidR="0008410D">
        <w:t>real-time visibility</w:t>
      </w:r>
      <w:r w:rsidR="00FE719B">
        <w:t xml:space="preserve"> on smaller assets</w:t>
      </w:r>
      <w:r w:rsidR="00240F44">
        <w:t>, considering that the current operational metering requirements fo</w:t>
      </w:r>
      <w:r w:rsidR="26DA210B">
        <w:t>r</w:t>
      </w:r>
      <w:r w:rsidR="00240F44">
        <w:t xml:space="preserve"> th</w:t>
      </w:r>
      <w:r w:rsidR="03675F81">
        <w:t>ese</w:t>
      </w:r>
      <w:r w:rsidR="00240F44">
        <w:t xml:space="preserve"> assets</w:t>
      </w:r>
    </w:p>
    <w:p w14:paraId="50C91C49" w14:textId="32B39254" w:rsidR="008E742F" w:rsidRPr="004739FB" w:rsidRDefault="00E75E84" w:rsidP="00835489">
      <w:pPr>
        <w:pStyle w:val="BodyText"/>
        <w:numPr>
          <w:ilvl w:val="0"/>
          <w:numId w:val="36"/>
        </w:numPr>
        <w:rPr>
          <w:rFonts w:cs="Poppins"/>
        </w:rPr>
      </w:pPr>
      <w:r>
        <w:t>Members discussed options to accelerate participation from smaller assets, alongside questions on revenue stacking, network charging arrangements and the utilisation of storage assets behind constraints.</w:t>
      </w:r>
    </w:p>
    <w:p w14:paraId="560D2979" w14:textId="3E312C14" w:rsidR="002D3980" w:rsidRDefault="002D3980" w:rsidP="00835489">
      <w:pPr>
        <w:pStyle w:val="Heading1"/>
        <w:rPr>
          <w:rFonts w:cs="Poppins"/>
        </w:rPr>
      </w:pPr>
      <w:r>
        <w:rPr>
          <w:rFonts w:cs="Poppins"/>
        </w:rPr>
        <w:t>S</w:t>
      </w:r>
      <w:r w:rsidR="00AB768B">
        <w:rPr>
          <w:rFonts w:cs="Poppins"/>
        </w:rPr>
        <w:t xml:space="preserve">horter </w:t>
      </w:r>
      <w:r>
        <w:rPr>
          <w:rFonts w:cs="Poppins"/>
        </w:rPr>
        <w:t>S</w:t>
      </w:r>
      <w:r w:rsidR="00AB768B">
        <w:rPr>
          <w:rFonts w:cs="Poppins"/>
        </w:rPr>
        <w:t xml:space="preserve">ettlement </w:t>
      </w:r>
      <w:r>
        <w:rPr>
          <w:rFonts w:cs="Poppins"/>
        </w:rPr>
        <w:t>P</w:t>
      </w:r>
      <w:r w:rsidR="00AB768B">
        <w:rPr>
          <w:rFonts w:cs="Poppins"/>
        </w:rPr>
        <w:t>eriod</w:t>
      </w:r>
      <w:r w:rsidR="00F53025">
        <w:rPr>
          <w:rFonts w:cs="Poppins"/>
        </w:rPr>
        <w:t xml:space="preserve"> (SSP) discussion</w:t>
      </w:r>
    </w:p>
    <w:p w14:paraId="69C4BCF1" w14:textId="6C341327" w:rsidR="00AB768B" w:rsidRPr="00AB768B" w:rsidRDefault="00AB768B" w:rsidP="00835489">
      <w:pPr>
        <w:pStyle w:val="BodyText"/>
        <w:rPr>
          <w:b/>
          <w:bCs/>
        </w:rPr>
      </w:pPr>
      <w:r w:rsidRPr="00AB768B">
        <w:rPr>
          <w:b/>
          <w:bCs/>
        </w:rPr>
        <w:t xml:space="preserve">Policy design </w:t>
      </w:r>
    </w:p>
    <w:p w14:paraId="6FB5539B" w14:textId="77203344" w:rsidR="00AB768B" w:rsidRDefault="00AB768B" w:rsidP="00835489">
      <w:pPr>
        <w:pStyle w:val="BodyText"/>
        <w:numPr>
          <w:ilvl w:val="0"/>
          <w:numId w:val="29"/>
        </w:numPr>
      </w:pPr>
      <w:r>
        <w:t xml:space="preserve">The current base-case design proposes moving from a 30min </w:t>
      </w:r>
      <w:proofErr w:type="spellStart"/>
      <w:r>
        <w:t>S</w:t>
      </w:r>
      <w:r w:rsidR="00CE3DEF">
        <w:t>ettement</w:t>
      </w:r>
      <w:proofErr w:type="spellEnd"/>
      <w:r w:rsidR="00CE3DEF">
        <w:t xml:space="preserve"> Period (</w:t>
      </w:r>
      <w:r>
        <w:t>SP</w:t>
      </w:r>
      <w:r w:rsidR="00CE3DEF">
        <w:t>)</w:t>
      </w:r>
      <w:r>
        <w:t xml:space="preserve"> to a 15min SP, with a 5-min SP continuing to be considered as an alternative option.</w:t>
      </w:r>
    </w:p>
    <w:p w14:paraId="58529186" w14:textId="3D0B0C48" w:rsidR="009C75CE" w:rsidRDefault="009C75CE" w:rsidP="00835489">
      <w:pPr>
        <w:pStyle w:val="BodyText"/>
        <w:numPr>
          <w:ilvl w:val="0"/>
          <w:numId w:val="29"/>
        </w:numPr>
      </w:pPr>
      <w:r w:rsidRPr="009C75CE">
        <w:t>The Market Time Unit (MTU), which defines the time interval over which electricity is traded in the Day-Ahead and Intraday markets, would be aligned with the SP. This would ensure that market participants trade, schedule and settle energy over the same 15-minute periods, creating consistency between trading and settlement arrangements.</w:t>
      </w:r>
    </w:p>
    <w:p w14:paraId="1098496E" w14:textId="787DF4EA" w:rsidR="00044183" w:rsidRDefault="00044183" w:rsidP="00835489">
      <w:pPr>
        <w:pStyle w:val="BodyText"/>
        <w:numPr>
          <w:ilvl w:val="0"/>
          <w:numId w:val="29"/>
        </w:numPr>
      </w:pPr>
      <w:r w:rsidRPr="00044183">
        <w:t xml:space="preserve">Under the proposed design, Gate Closure would move to 60 minutes before real time, reducing the period available for balancing actions from </w:t>
      </w:r>
      <w:r w:rsidR="00337DDB">
        <w:t>90</w:t>
      </w:r>
      <w:r w:rsidR="0044675E">
        <w:t xml:space="preserve"> </w:t>
      </w:r>
      <w:r w:rsidRPr="00044183">
        <w:t xml:space="preserve">minutes to </w:t>
      </w:r>
      <w:r w:rsidR="0044675E">
        <w:t>7</w:t>
      </w:r>
      <w:r w:rsidR="00337DDB">
        <w:t>5</w:t>
      </w:r>
      <w:r w:rsidRPr="00044183">
        <w:t xml:space="preserve"> minutes.</w:t>
      </w:r>
    </w:p>
    <w:p w14:paraId="705AD2A5" w14:textId="00D8E3CC" w:rsidR="00AB768B" w:rsidRDefault="00F53025" w:rsidP="00835489">
      <w:pPr>
        <w:pStyle w:val="BodyText"/>
        <w:numPr>
          <w:ilvl w:val="0"/>
          <w:numId w:val="30"/>
        </w:numPr>
      </w:pPr>
      <w:r>
        <w:t>SSP</w:t>
      </w:r>
      <w:r w:rsidR="00AB768B">
        <w:t xml:space="preserve"> are expected to increase the granularity of market signals and settlement outcomes, helping market participants respond more accurately to changes in system conditions.</w:t>
      </w:r>
    </w:p>
    <w:p w14:paraId="6CB1095D" w14:textId="77777777" w:rsidR="00AB768B" w:rsidRPr="00AB768B" w:rsidRDefault="00AB768B" w:rsidP="00835489">
      <w:pPr>
        <w:pStyle w:val="BodyText"/>
        <w:rPr>
          <w:b/>
          <w:bCs/>
        </w:rPr>
      </w:pPr>
      <w:r w:rsidRPr="00AB768B">
        <w:rPr>
          <w:b/>
          <w:bCs/>
        </w:rPr>
        <w:t>Phasing and Metering Approach</w:t>
      </w:r>
    </w:p>
    <w:p w14:paraId="27C06C83" w14:textId="77777777" w:rsidR="00AB768B" w:rsidRDefault="00AB768B" w:rsidP="00835489">
      <w:pPr>
        <w:pStyle w:val="BodyText"/>
        <w:numPr>
          <w:ilvl w:val="0"/>
          <w:numId w:val="31"/>
        </w:numPr>
      </w:pPr>
      <w:r>
        <w:t>Implementation would be phased according to consumer type and metering capability.</w:t>
      </w:r>
    </w:p>
    <w:p w14:paraId="489555F3" w14:textId="77777777" w:rsidR="00AB768B" w:rsidRDefault="00AB768B" w:rsidP="00835489">
      <w:pPr>
        <w:pStyle w:val="BodyText"/>
        <w:numPr>
          <w:ilvl w:val="0"/>
          <w:numId w:val="31"/>
        </w:numPr>
      </w:pPr>
      <w:r>
        <w:t>Wholesale market participants and larger consumers would transition first, with implementation currently assumed in 2032.</w:t>
      </w:r>
    </w:p>
    <w:p w14:paraId="4A6B9641" w14:textId="77777777" w:rsidR="005757EE" w:rsidRPr="00B655AF" w:rsidRDefault="005757EE" w:rsidP="00835489">
      <w:pPr>
        <w:pStyle w:val="ListParagraph"/>
        <w:numPr>
          <w:ilvl w:val="0"/>
          <w:numId w:val="31"/>
        </w:numPr>
        <w:spacing w:before="100" w:beforeAutospacing="1" w:after="100" w:afterAutospacing="1" w:line="300" w:lineRule="atLeast"/>
        <w:rPr>
          <w:rFonts w:ascii="Poppins" w:hAnsi="Poppins"/>
          <w:color w:val="000000" w:themeColor="text1"/>
          <w:kern w:val="0"/>
          <w:sz w:val="20"/>
          <w:szCs w:val="20"/>
          <w14:ligatures w14:val="none"/>
        </w:rPr>
      </w:pPr>
      <w:r w:rsidRPr="00B655AF">
        <w:rPr>
          <w:rFonts w:ascii="Poppins" w:hAnsi="Poppins"/>
          <w:color w:val="000000" w:themeColor="text1"/>
          <w:kern w:val="0"/>
          <w:sz w:val="20"/>
          <w:szCs w:val="20"/>
          <w14:ligatures w14:val="none"/>
        </w:rPr>
        <w:t>Implementation for retail consumers, including domestic and small commercial customers, is currently assumed in 2035, reflecting the expectation that meter replacements would occur through the existing asset replacement cycle.</w:t>
      </w:r>
    </w:p>
    <w:p w14:paraId="0848FD54" w14:textId="46F030F0" w:rsidR="00AB768B" w:rsidRDefault="00AB768B" w:rsidP="00835489">
      <w:pPr>
        <w:pStyle w:val="BodyText"/>
        <w:numPr>
          <w:ilvl w:val="0"/>
          <w:numId w:val="31"/>
        </w:numPr>
      </w:pPr>
      <w:r>
        <w:t>Metering changes for larger consumers would be delivered on a site-specific basis, while retail metering upgrades would align with existing meter replacement cycles.</w:t>
      </w:r>
    </w:p>
    <w:p w14:paraId="391F60A5" w14:textId="77777777" w:rsidR="00AB768B" w:rsidRPr="00D11EDE" w:rsidRDefault="00AB768B" w:rsidP="00835489">
      <w:pPr>
        <w:pStyle w:val="BodyText"/>
        <w:rPr>
          <w:b/>
          <w:bCs/>
        </w:rPr>
      </w:pPr>
      <w:r w:rsidRPr="00D11EDE">
        <w:rPr>
          <w:b/>
          <w:bCs/>
        </w:rPr>
        <w:t>Enduring Settlement Arrangements</w:t>
      </w:r>
    </w:p>
    <w:p w14:paraId="03CB6CBE" w14:textId="77777777" w:rsidR="00AB768B" w:rsidRDefault="00AB768B" w:rsidP="00835489">
      <w:pPr>
        <w:pStyle w:val="BodyText"/>
        <w:numPr>
          <w:ilvl w:val="0"/>
          <w:numId w:val="33"/>
        </w:numPr>
      </w:pPr>
      <w:r>
        <w:t>The proposed end-state would align wholesale and retail settlement arrangements on a common settlement period.</w:t>
      </w:r>
    </w:p>
    <w:p w14:paraId="40DB4E4A" w14:textId="64CBC048" w:rsidR="00AB768B" w:rsidRDefault="00AB768B" w:rsidP="00835489">
      <w:pPr>
        <w:pStyle w:val="BodyText"/>
        <w:numPr>
          <w:ilvl w:val="0"/>
          <w:numId w:val="33"/>
        </w:numPr>
      </w:pPr>
      <w:r>
        <w:t xml:space="preserve">Retail consumers without metering capable of supporting </w:t>
      </w:r>
      <w:r w:rsidR="00D11EDE">
        <w:t>SSPs</w:t>
      </w:r>
      <w:r>
        <w:t xml:space="preserve"> would </w:t>
      </w:r>
      <w:r w:rsidR="00BD4DFC">
        <w:t xml:space="preserve">not need to be immediately upgraded. Instead, their consumption would be allocated </w:t>
      </w:r>
      <w:r w:rsidR="00AF5FBC">
        <w:t xml:space="preserve">across 15min periods </w:t>
      </w:r>
      <w:r w:rsidR="0081359D">
        <w:t xml:space="preserve">using </w:t>
      </w:r>
      <w:r w:rsidR="002E7C27">
        <w:t>a profile or estimation.</w:t>
      </w:r>
    </w:p>
    <w:p w14:paraId="689F4264" w14:textId="6876D7F2" w:rsidR="00AB768B" w:rsidRPr="008E3A61" w:rsidRDefault="008E3A61" w:rsidP="00835489">
      <w:pPr>
        <w:pStyle w:val="BodyText"/>
        <w:rPr>
          <w:b/>
          <w:bCs/>
        </w:rPr>
      </w:pPr>
      <w:r w:rsidRPr="008E3A61">
        <w:rPr>
          <w:b/>
          <w:bCs/>
        </w:rPr>
        <w:t>CBA</w:t>
      </w:r>
    </w:p>
    <w:p w14:paraId="09812277" w14:textId="2A9EE0BC" w:rsidR="008E3A61" w:rsidRDefault="008E3A61" w:rsidP="00835489">
      <w:pPr>
        <w:pStyle w:val="BodyText"/>
        <w:numPr>
          <w:ilvl w:val="0"/>
          <w:numId w:val="37"/>
        </w:numPr>
      </w:pPr>
      <w:r>
        <w:t>The CBA assumes that SSPs would create more granular imbalance signals, incentivising market participants to better align contracted and physical positions and reduce structural imbalances.</w:t>
      </w:r>
    </w:p>
    <w:p w14:paraId="14C7C4CB" w14:textId="527D2B92" w:rsidR="008E3A61" w:rsidRDefault="008E3A61" w:rsidP="00835489">
      <w:pPr>
        <w:pStyle w:val="BodyText"/>
        <w:numPr>
          <w:ilvl w:val="0"/>
          <w:numId w:val="37"/>
        </w:numPr>
      </w:pPr>
      <w:r>
        <w:t>More granular signals are expected to shift a greater proportion of imbalance resolution into wholesale markets, reducing reliance on BM actions.</w:t>
      </w:r>
    </w:p>
    <w:p w14:paraId="35350BD8" w14:textId="77777777" w:rsidR="008E3A61" w:rsidRDefault="008E3A61" w:rsidP="00835489">
      <w:pPr>
        <w:pStyle w:val="BodyText"/>
        <w:numPr>
          <w:ilvl w:val="0"/>
          <w:numId w:val="37"/>
        </w:numPr>
      </w:pPr>
      <w:r>
        <w:t>The assessment presented the hypothesis that resolving imbalances through wholesale markets may be more efficient than resolving them in the BM, resulting in lower overall system costs.</w:t>
      </w:r>
    </w:p>
    <w:p w14:paraId="68BB5603" w14:textId="0A123848" w:rsidR="008E3A61" w:rsidRPr="008E3A61" w:rsidRDefault="008E3A61" w:rsidP="00835489">
      <w:pPr>
        <w:pStyle w:val="BodyText"/>
        <w:numPr>
          <w:ilvl w:val="0"/>
          <w:numId w:val="37"/>
        </w:numPr>
      </w:pPr>
      <w:r>
        <w:t>Potential system benefits identified include reductions in energy imbalance costs and reserve procurement requirements, subject to broad adoption of 15</w:t>
      </w:r>
      <w:r w:rsidR="00006547">
        <w:t>min</w:t>
      </w:r>
      <w:r>
        <w:t xml:space="preserve"> trading and settlement arrangements</w:t>
      </w:r>
    </w:p>
    <w:p w14:paraId="250879CA" w14:textId="2BEC8587" w:rsidR="007A10B5" w:rsidRDefault="007A10B5" w:rsidP="00835489">
      <w:pPr>
        <w:pStyle w:val="BodyText"/>
        <w:rPr>
          <w:b/>
          <w:bCs/>
        </w:rPr>
      </w:pPr>
      <w:r>
        <w:rPr>
          <w:b/>
          <w:bCs/>
        </w:rPr>
        <w:t xml:space="preserve">Key IEP discussion points </w:t>
      </w:r>
    </w:p>
    <w:p w14:paraId="184D6A6F" w14:textId="6CF8F46C" w:rsidR="008E3A61" w:rsidRPr="008E3A61" w:rsidRDefault="008E3A61" w:rsidP="00835489">
      <w:pPr>
        <w:pStyle w:val="BodyText"/>
        <w:numPr>
          <w:ilvl w:val="0"/>
          <w:numId w:val="39"/>
        </w:numPr>
        <w:rPr>
          <w:b/>
          <w:bCs/>
        </w:rPr>
      </w:pPr>
      <w:r w:rsidRPr="008E3A61">
        <w:t>Stakeholders stressed that the case for SSP should be assessed on deliverability as well as benefits, with concerns raised around programme governance, industry readiness, implementation risk and lessons from previous industry change programmes</w:t>
      </w:r>
      <w:r>
        <w:t>.</w:t>
      </w:r>
    </w:p>
    <w:p w14:paraId="1FF8962A" w14:textId="77777777" w:rsidR="008E3A61" w:rsidRPr="008E3A61" w:rsidRDefault="008E3A61" w:rsidP="00835489">
      <w:pPr>
        <w:pStyle w:val="BodyText"/>
        <w:numPr>
          <w:ilvl w:val="0"/>
          <w:numId w:val="39"/>
        </w:numPr>
        <w:rPr>
          <w:b/>
          <w:bCs/>
        </w:rPr>
      </w:pPr>
      <w:r w:rsidRPr="008E3A61">
        <w:t>Members highlighted uncertainty around implementation costs, requesting greater transparency on metering, communications, data transfer and wider industry costs, particularly for business and half-hourly settled customers.</w:t>
      </w:r>
    </w:p>
    <w:p w14:paraId="0AC4DD87" w14:textId="77777777" w:rsidR="008E3A61" w:rsidRPr="00F377CD" w:rsidRDefault="008E3A61" w:rsidP="00835489">
      <w:pPr>
        <w:pStyle w:val="BodyText"/>
        <w:numPr>
          <w:ilvl w:val="0"/>
          <w:numId w:val="39"/>
        </w:numPr>
      </w:pPr>
      <w:r w:rsidRPr="008E3A61">
        <w:t>Stakeholders questioned a number of key assumptions underpinning the benefits case, including demand participation levels, load shaping arrangements and the magnitude of reserve procurement savings.</w:t>
      </w:r>
    </w:p>
    <w:p w14:paraId="45FFD61B" w14:textId="0994A8AD" w:rsidR="000E1DE7" w:rsidRPr="00C44D68" w:rsidRDefault="00F377CD" w:rsidP="00835489">
      <w:pPr>
        <w:pStyle w:val="BodyText"/>
        <w:numPr>
          <w:ilvl w:val="0"/>
          <w:numId w:val="39"/>
        </w:numPr>
        <w:rPr>
          <w:b/>
        </w:rPr>
      </w:pPr>
      <w:r w:rsidRPr="00B655AF">
        <w:t>The feedback will be considered as part of the ongoing refinement of the CBA, with further evidence and justification to be provided where stakeholders have challenged key assumptions.</w:t>
      </w:r>
      <w:r w:rsidR="004739FB">
        <w:t xml:space="preserve"> </w:t>
      </w:r>
      <w:r w:rsidR="008E3A61" w:rsidRPr="008E3A61">
        <w:t>Several members emphasised the need for a phased and realistic implementation approach, noting that successful delivery is likely to depend on wider industry processes, governance arrangements and supporting code changes.</w:t>
      </w:r>
      <w:r w:rsidR="00886D16" w:rsidRPr="00886D16">
        <w:t xml:space="preserve"> </w:t>
      </w:r>
      <w:r w:rsidR="00E97701">
        <w:t>I</w:t>
      </w:r>
      <w:r w:rsidR="00886D16" w:rsidRPr="00886D16">
        <w:t>mplementation considerations and sequencing will be explored further through the development of the implementation roadmap</w:t>
      </w:r>
      <w:r w:rsidR="004739FB">
        <w:t>.</w:t>
      </w:r>
    </w:p>
    <w:sectPr w:rsidR="000E1DE7" w:rsidRPr="00C44D68" w:rsidSect="008E20D5">
      <w:headerReference w:type="even" r:id="rId11"/>
      <w:headerReference w:type="default" r:id="rId12"/>
      <w:footerReference w:type="default" r:id="rId13"/>
      <w:headerReference w:type="first" r:id="rId14"/>
      <w:footerReference w:type="first" r:id="rId15"/>
      <w:pgSz w:w="11906" w:h="16838" w:code="9"/>
      <w:pgMar w:top="2495" w:right="1077" w:bottom="1361" w:left="107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FF60A" w14:textId="77777777" w:rsidR="00AD64BA" w:rsidRDefault="00AD64BA" w:rsidP="00A62BFF">
      <w:pPr>
        <w:spacing w:after="0"/>
      </w:pPr>
      <w:r>
        <w:separator/>
      </w:r>
    </w:p>
  </w:endnote>
  <w:endnote w:type="continuationSeparator" w:id="0">
    <w:p w14:paraId="2FE28258" w14:textId="77777777" w:rsidR="00AD64BA" w:rsidRDefault="00AD64BA" w:rsidP="00A62BFF">
      <w:pPr>
        <w:spacing w:after="0"/>
      </w:pPr>
      <w:r>
        <w:continuationSeparator/>
      </w:r>
    </w:p>
  </w:endnote>
  <w:endnote w:type="continuationNotice" w:id="1">
    <w:p w14:paraId="208A1C3A" w14:textId="77777777" w:rsidR="00AD64BA" w:rsidRDefault="00AD64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altName w:val="Nirmala UI"/>
    <w:charset w:val="00"/>
    <w:family w:val="auto"/>
    <w:pitch w:val="variable"/>
    <w:sig w:usb0="00008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Aptos">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HGPMinchoE">
    <w:charset w:val="80"/>
    <w:family w:val="roman"/>
    <w:pitch w:val="variable"/>
    <w:sig w:usb0="E00002FF" w:usb1="2AC7EDFE"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7606881"/>
      <w:docPartObj>
        <w:docPartGallery w:val="Page Numbers (Bottom of Page)"/>
        <w:docPartUnique/>
      </w:docPartObj>
    </w:sdtPr>
    <w:sdtEndPr>
      <w:rPr>
        <w:sz w:val="26"/>
        <w:szCs w:val="26"/>
      </w:rPr>
    </w:sdtEndPr>
    <w:sdtContent>
      <w:p w14:paraId="5E7BD187" w14:textId="77777777" w:rsidR="00A151C2" w:rsidRPr="00B02D70" w:rsidRDefault="008E20D5" w:rsidP="00A151C2">
        <w:pPr>
          <w:pStyle w:val="Footer"/>
          <w:jc w:val="right"/>
          <w:rPr>
            <w:rFonts w:cstheme="minorHAnsi"/>
            <w:color w:val="7F7F7F"/>
            <w:sz w:val="20"/>
            <w:szCs w:val="20"/>
          </w:rPr>
        </w:pPr>
        <w:r w:rsidRPr="00B02D70">
          <w:rPr>
            <w:rFonts w:cstheme="minorHAnsi"/>
            <w:color w:val="7F7F7F"/>
            <w:sz w:val="20"/>
            <w:szCs w:val="20"/>
          </w:rPr>
          <w:fldChar w:fldCharType="begin"/>
        </w:r>
        <w:r w:rsidRPr="00B02D70">
          <w:rPr>
            <w:rFonts w:cstheme="minorHAnsi"/>
            <w:color w:val="7F7F7F"/>
            <w:sz w:val="20"/>
            <w:szCs w:val="20"/>
          </w:rPr>
          <w:instrText>PAGE   \* MERGEFORMAT</w:instrText>
        </w:r>
        <w:r w:rsidRPr="00B02D70">
          <w:rPr>
            <w:rFonts w:cstheme="minorHAnsi"/>
            <w:color w:val="7F7F7F"/>
            <w:sz w:val="20"/>
            <w:szCs w:val="20"/>
          </w:rPr>
          <w:fldChar w:fldCharType="separate"/>
        </w:r>
        <w:r w:rsidRPr="00B02D70">
          <w:rPr>
            <w:rFonts w:cstheme="minorHAnsi"/>
            <w:color w:val="7F7F7F"/>
            <w:sz w:val="20"/>
            <w:szCs w:val="20"/>
          </w:rPr>
          <w:t>2</w:t>
        </w:r>
        <w:r w:rsidRPr="00B02D70">
          <w:rPr>
            <w:rFonts w:cstheme="minorHAnsi"/>
            <w:color w:val="7F7F7F"/>
            <w:sz w:val="20"/>
            <w:szCs w:val="20"/>
          </w:rPr>
          <w:fldChar w:fldCharType="end"/>
        </w:r>
      </w:p>
      <w:p w14:paraId="4F220E3F" w14:textId="77777777" w:rsidR="00B26D29" w:rsidRPr="00A151C2" w:rsidRDefault="00AD64BA" w:rsidP="00A151C2">
        <w:pPr>
          <w:pStyle w:val="Footer"/>
          <w:jc w:val="right"/>
          <w:rPr>
            <w:sz w:val="26"/>
            <w:szCs w:val="2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5D788" w14:textId="77777777" w:rsidR="00B26D29" w:rsidRDefault="00EB2BC1">
    <w:pPr>
      <w:pStyle w:val="Footer"/>
    </w:pPr>
    <w:r w:rsidRPr="00EB2BC1">
      <w:rPr>
        <w:rFonts w:ascii="Helvetica" w:eastAsia="HGPMinchoE" w:hAnsi="Helvetica"/>
        <w:noProof/>
        <w:sz w:val="28"/>
        <w:szCs w:val="40"/>
      </w:rPr>
      <mc:AlternateContent>
        <mc:Choice Requires="wps">
          <w:drawing>
            <wp:anchor distT="45720" distB="45720" distL="114300" distR="114300" simplePos="0" relativeHeight="251658241" behindDoc="0" locked="0" layoutInCell="1" allowOverlap="1" wp14:anchorId="50B8ACDB" wp14:editId="57CC1BA2">
              <wp:simplePos x="0" y="0"/>
              <wp:positionH relativeFrom="rightMargin">
                <wp:posOffset>88265</wp:posOffset>
              </wp:positionH>
              <wp:positionV relativeFrom="paragraph">
                <wp:posOffset>-278130</wp:posOffset>
              </wp:positionV>
              <wp:extent cx="323850" cy="2952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95275"/>
                      </a:xfrm>
                      <a:prstGeom prst="rect">
                        <a:avLst/>
                      </a:prstGeom>
                      <a:noFill/>
                      <a:ln w="9525">
                        <a:noFill/>
                        <a:miter lim="800000"/>
                        <a:headEnd/>
                        <a:tailEnd/>
                      </a:ln>
                    </wps:spPr>
                    <wps:txbx>
                      <w:txbxContent>
                        <w:p w14:paraId="080904E8" w14:textId="77777777" w:rsidR="00EB2BC1" w:rsidRDefault="00EB2BC1" w:rsidP="00F4613D">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B8ACDB" id="_x0000_t202" coordsize="21600,21600" o:spt="202" path="m,l,21600r21600,l21600,xe">
              <v:stroke joinstyle="miter"/>
              <v:path gradientshapeok="t" o:connecttype="rect"/>
            </v:shapetype>
            <v:shape id="Text Box 2" o:spid="_x0000_s1026" type="#_x0000_t202" style="position:absolute;margin-left:6.95pt;margin-top:-21.9pt;width:25.5pt;height:23.25pt;z-index:251658241;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" filled="f" stroked="f">
              <v:textbox>
                <w:txbxContent>
                  <w:p w14:paraId="080904E8" w14:textId="77777777" w:rsidR="00EB2BC1" w:rsidRDefault="00EB2BC1" w:rsidP="00F4613D">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6B2F3" w14:textId="77777777" w:rsidR="00AD64BA" w:rsidRDefault="00AD64BA" w:rsidP="00A62BFF">
      <w:pPr>
        <w:spacing w:after="0"/>
      </w:pPr>
      <w:r>
        <w:separator/>
      </w:r>
    </w:p>
  </w:footnote>
  <w:footnote w:type="continuationSeparator" w:id="0">
    <w:p w14:paraId="48905F0E" w14:textId="77777777" w:rsidR="00AD64BA" w:rsidRDefault="00AD64BA" w:rsidP="00A62BFF">
      <w:pPr>
        <w:spacing w:after="0"/>
      </w:pPr>
      <w:r>
        <w:continuationSeparator/>
      </w:r>
    </w:p>
  </w:footnote>
  <w:footnote w:type="continuationNotice" w:id="1">
    <w:p w14:paraId="15A39252" w14:textId="77777777" w:rsidR="00AD64BA" w:rsidRDefault="00AD64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EAAE" w14:textId="77777777" w:rsidR="00F65400" w:rsidRDefault="00F654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9CAA3" w14:textId="77777777" w:rsidR="008E20D5" w:rsidRDefault="00575229" w:rsidP="00EB2BC1">
    <w:pPr>
      <w:pStyle w:val="Header"/>
      <w:ind w:left="0"/>
      <w:jc w:val="left"/>
      <w:rPr>
        <w:rFonts w:ascii="Helvetica" w:eastAsia="HGPMinchoE" w:hAnsi="Helvetica"/>
        <w:color w:val="3F0730"/>
        <w:sz w:val="28"/>
        <w:szCs w:val="40"/>
      </w:rPr>
    </w:pPr>
    <w:r>
      <w:rPr>
        <w:rFonts w:ascii="Helvetica" w:eastAsia="HGPMinchoE" w:hAnsi="Helvetica"/>
        <w:color w:val="3F0730"/>
        <w:sz w:val="28"/>
        <w:szCs w:val="40"/>
        <w14:ligatures w14:val="none"/>
      </w:rPr>
      <w:drawing>
        <wp:anchor distT="0" distB="0" distL="114300" distR="114300" simplePos="0" relativeHeight="251658242" behindDoc="1" locked="0" layoutInCell="1" allowOverlap="1" wp14:anchorId="2798BB37" wp14:editId="626E6E24">
          <wp:simplePos x="0" y="0"/>
          <wp:positionH relativeFrom="page">
            <wp:posOffset>0</wp:posOffset>
          </wp:positionH>
          <wp:positionV relativeFrom="page">
            <wp:posOffset>0</wp:posOffset>
          </wp:positionV>
          <wp:extent cx="7570800" cy="10706400"/>
          <wp:effectExtent l="0" t="0" r="0" b="0"/>
          <wp:wrapNone/>
          <wp:docPr id="999999837"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99837" name="Graphic 999999837"/>
                  <pic:cNvPicPr/>
                </pic:nvPicPr>
                <pic:blipFill>
                  <a:blip r:embed="rId1">
                    <a:extLst>
                      <a:ext uri="{96DAC541-7B7A-43D3-8B79-37D633B846F1}">
                        <asvg:svgBlip xmlns:asvg="http://schemas.microsoft.com/office/drawing/2016/SVG/main" r:embed="rId2"/>
                      </a:ext>
                    </a:extLst>
                  </a:blip>
                  <a:stretch>
                    <a:fillRect/>
                  </a:stretch>
                </pic:blipFill>
                <pic:spPr>
                  <a:xfrm>
                    <a:off x="0" y="0"/>
                    <a:ext cx="7570800" cy="10706400"/>
                  </a:xfrm>
                  <a:prstGeom prst="rect">
                    <a:avLst/>
                  </a:prstGeom>
                </pic:spPr>
              </pic:pic>
            </a:graphicData>
          </a:graphic>
          <wp14:sizeRelH relativeFrom="margin">
            <wp14:pctWidth>0</wp14:pctWidth>
          </wp14:sizeRelH>
          <wp14:sizeRelV relativeFrom="margin">
            <wp14:pctHeight>0</wp14:pctHeight>
          </wp14:sizeRelV>
        </wp:anchor>
      </w:drawing>
    </w:r>
  </w:p>
  <w:p w14:paraId="13CF8BD6" w14:textId="77777777" w:rsidR="008E20D5" w:rsidRDefault="008E20D5" w:rsidP="00EB2BC1">
    <w:pPr>
      <w:pStyle w:val="Header"/>
      <w:ind w:left="0"/>
      <w:jc w:val="left"/>
      <w:rPr>
        <w:rFonts w:ascii="Helvetica" w:eastAsia="HGPMinchoE" w:hAnsi="Helvetica"/>
        <w:color w:val="3F0730"/>
        <w:sz w:val="28"/>
        <w:szCs w:val="40"/>
      </w:rPr>
    </w:pPr>
  </w:p>
  <w:p w14:paraId="1C344233" w14:textId="77777777" w:rsidR="008E20D5" w:rsidRDefault="008E20D5" w:rsidP="00EB2BC1">
    <w:pPr>
      <w:pStyle w:val="Header"/>
      <w:ind w:left="0"/>
      <w:jc w:val="left"/>
      <w:rPr>
        <w:rFonts w:ascii="Helvetica" w:eastAsia="HGPMinchoE" w:hAnsi="Helvetica"/>
        <w:color w:val="3F0730"/>
        <w:sz w:val="28"/>
        <w:szCs w:val="40"/>
      </w:rPr>
    </w:pPr>
  </w:p>
  <w:p w14:paraId="1BDC4D83" w14:textId="77777777" w:rsidR="008E20D5" w:rsidRDefault="008E20D5" w:rsidP="00EB2BC1">
    <w:pPr>
      <w:pStyle w:val="Header"/>
      <w:ind w:left="0"/>
      <w:jc w:val="left"/>
      <w:rPr>
        <w:rFonts w:ascii="Helvetica" w:eastAsia="HGPMinchoE" w:hAnsi="Helvetica"/>
        <w:color w:val="3F0730"/>
        <w:sz w:val="28"/>
        <w:szCs w:val="40"/>
      </w:rPr>
    </w:pPr>
  </w:p>
  <w:p w14:paraId="6D9649CB" w14:textId="77777777" w:rsidR="008E20D5" w:rsidRDefault="00B02D70" w:rsidP="00B02D70">
    <w:pPr>
      <w:pStyle w:val="Header"/>
      <w:tabs>
        <w:tab w:val="left" w:pos="8085"/>
      </w:tabs>
      <w:ind w:left="0"/>
      <w:jc w:val="left"/>
      <w:rPr>
        <w:rFonts w:ascii="Helvetica" w:eastAsia="HGPMinchoE" w:hAnsi="Helvetica"/>
        <w:color w:val="3F0730"/>
        <w:sz w:val="28"/>
        <w:szCs w:val="40"/>
      </w:rPr>
    </w:pPr>
    <w:r>
      <w:rPr>
        <w:rFonts w:ascii="Helvetica" w:eastAsia="HGPMinchoE" w:hAnsi="Helvetica"/>
        <w:color w:val="3F0730"/>
        <w:sz w:val="28"/>
        <w:szCs w:val="4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C2147" w14:textId="77777777" w:rsidR="00DF17EF" w:rsidRPr="007619FB" w:rsidRDefault="006E510D" w:rsidP="00DF17EF">
    <w:pPr>
      <w:pStyle w:val="Header"/>
      <w:ind w:left="0"/>
      <w:jc w:val="left"/>
      <w:rPr>
        <w:rFonts w:eastAsia="HGPMinchoE" w:cs="Poppins"/>
        <w:sz w:val="28"/>
        <w:szCs w:val="40"/>
      </w:rPr>
    </w:pPr>
    <w:r w:rsidRPr="007619FB">
      <w:rPr>
        <w:rFonts w:eastAsia="HGPMinchoE" w:cs="Poppins"/>
        <w:sz w:val="28"/>
        <w:szCs w:val="40"/>
      </w:rPr>
      <w:drawing>
        <wp:anchor distT="0" distB="0" distL="114300" distR="114300" simplePos="0" relativeHeight="251658240" behindDoc="1" locked="0" layoutInCell="1" allowOverlap="1" wp14:anchorId="6BDB75C7" wp14:editId="5D423A05">
          <wp:simplePos x="0" y="0"/>
          <wp:positionH relativeFrom="column">
            <wp:posOffset>-693986</wp:posOffset>
          </wp:positionH>
          <wp:positionV relativeFrom="paragraph">
            <wp:posOffset>-261620</wp:posOffset>
          </wp:positionV>
          <wp:extent cx="7559524" cy="10688760"/>
          <wp:effectExtent l="0" t="0" r="381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59524" cy="10688760"/>
                  </a:xfrm>
                  <a:prstGeom prst="rect">
                    <a:avLst/>
                  </a:prstGeom>
                </pic:spPr>
              </pic:pic>
            </a:graphicData>
          </a:graphic>
          <wp14:sizeRelH relativeFrom="page">
            <wp14:pctWidth>0</wp14:pctWidth>
          </wp14:sizeRelH>
          <wp14:sizeRelV relativeFrom="page">
            <wp14:pctHeight>0</wp14:pctHeight>
          </wp14:sizeRelV>
        </wp:anchor>
      </w:drawing>
    </w:r>
  </w:p>
  <w:p w14:paraId="38C58679" w14:textId="77777777" w:rsidR="00DF17EF" w:rsidRPr="007619FB" w:rsidRDefault="00DF17EF" w:rsidP="00DF17EF">
    <w:pPr>
      <w:pStyle w:val="Header"/>
      <w:ind w:left="0"/>
      <w:jc w:val="left"/>
      <w:rPr>
        <w:rFonts w:eastAsia="HGPMinchoE" w:cs="Poppins"/>
        <w:sz w:val="28"/>
        <w:szCs w:val="40"/>
      </w:rPr>
    </w:pPr>
  </w:p>
  <w:p w14:paraId="0CC4962B" w14:textId="77777777" w:rsidR="00DF17EF" w:rsidRPr="007619FB" w:rsidRDefault="00DF17EF" w:rsidP="00DF17EF">
    <w:pPr>
      <w:pStyle w:val="Header"/>
      <w:ind w:left="0"/>
      <w:jc w:val="left"/>
      <w:rPr>
        <w:rFonts w:eastAsia="HGPMinchoE" w:cs="Poppins"/>
        <w:sz w:val="28"/>
        <w:szCs w:val="40"/>
      </w:rPr>
    </w:pPr>
  </w:p>
  <w:p w14:paraId="6CC1AAAA" w14:textId="77777777" w:rsidR="00B26D29" w:rsidRPr="007619FB" w:rsidRDefault="00E0784E" w:rsidP="00DF17EF">
    <w:pPr>
      <w:pStyle w:val="Header"/>
      <w:ind w:left="0"/>
      <w:jc w:val="left"/>
      <w:rPr>
        <w:rFonts w:eastAsia="HGPMinchoE" w:cs="Poppins"/>
        <w:color w:val="3F0730"/>
        <w:sz w:val="28"/>
        <w:szCs w:val="40"/>
      </w:rPr>
    </w:pPr>
    <w:r w:rsidRPr="007619FB">
      <w:rPr>
        <w:rFonts w:eastAsia="HGPMinchoE" w:cs="Poppins"/>
        <w:color w:val="3F0730"/>
        <w:sz w:val="28"/>
        <w:szCs w:val="40"/>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A87E58"/>
    <w:lvl w:ilvl="0">
      <w:start w:val="1"/>
      <w:numFmt w:val="decimal"/>
      <w:pStyle w:val="ListNumber5"/>
      <w:lvlText w:val="%1."/>
      <w:lvlJc w:val="left"/>
      <w:pPr>
        <w:tabs>
          <w:tab w:val="num" w:pos="1700"/>
        </w:tabs>
        <w:ind w:left="1700" w:hanging="360"/>
      </w:pPr>
    </w:lvl>
  </w:abstractNum>
  <w:abstractNum w:abstractNumId="1" w15:restartNumberingAfterBreak="0">
    <w:nsid w:val="FFFFFF7D"/>
    <w:multiLevelType w:val="singleLevel"/>
    <w:tmpl w:val="CB806A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9C82E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C83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4636E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3870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ECC6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3251F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30E81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109662"/>
    <w:lvl w:ilvl="0">
      <w:start w:val="1"/>
      <w:numFmt w:val="bullet"/>
      <w:pStyle w:val="ListBullet"/>
      <w:lvlText w:val=""/>
      <w:lvlJc w:val="left"/>
      <w:pPr>
        <w:tabs>
          <w:tab w:val="num" w:pos="360"/>
        </w:tabs>
        <w:ind w:left="360" w:hanging="360"/>
      </w:pPr>
      <w:rPr>
        <w:rFonts w:ascii="Symbol" w:hAnsi="Symbol" w:hint="default"/>
        <w:sz w:val="18"/>
      </w:rPr>
    </w:lvl>
  </w:abstractNum>
  <w:abstractNum w:abstractNumId="10" w15:restartNumberingAfterBreak="0">
    <w:nsid w:val="00975F88"/>
    <w:multiLevelType w:val="hybridMultilevel"/>
    <w:tmpl w:val="7B76FC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16F27AA"/>
    <w:multiLevelType w:val="singleLevel"/>
    <w:tmpl w:val="39AE5596"/>
    <w:lvl w:ilvl="0">
      <w:start w:val="1"/>
      <w:numFmt w:val="decimal"/>
      <w:lvlText w:val="%1."/>
      <w:lvlJc w:val="left"/>
      <w:pPr>
        <w:ind w:left="360" w:hanging="360"/>
      </w:pPr>
      <w:rPr>
        <w:rFonts w:hint="default"/>
        <w:color w:val="FF00FF"/>
      </w:rPr>
    </w:lvl>
  </w:abstractNum>
  <w:abstractNum w:abstractNumId="12" w15:restartNumberingAfterBreak="0">
    <w:nsid w:val="03917BAC"/>
    <w:multiLevelType w:val="hybridMultilevel"/>
    <w:tmpl w:val="449C8712"/>
    <w:lvl w:ilvl="0" w:tplc="FD52E83C">
      <w:start w:val="1"/>
      <w:numFmt w:val="decimal"/>
      <w:pStyle w:val="SectionHeader"/>
      <w:lvlText w:val="%1."/>
      <w:lvlJc w:val="left"/>
      <w:pPr>
        <w:ind w:left="1080" w:hanging="72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4724149"/>
    <w:multiLevelType w:val="multilevel"/>
    <w:tmpl w:val="CE981792"/>
    <w:styleLink w:val="Bullets"/>
    <w:lvl w:ilvl="0">
      <w:start w:val="1"/>
      <w:numFmt w:val="bullet"/>
      <w:lvlText w:val=""/>
      <w:lvlJc w:val="left"/>
      <w:pPr>
        <w:ind w:left="360" w:hanging="360"/>
      </w:pPr>
      <w:rPr>
        <w:rFonts w:ascii="Symbol" w:hAnsi="Symbol" w:hint="default"/>
        <w:color w:val="D43900"/>
      </w:rPr>
    </w:lvl>
    <w:lvl w:ilvl="1">
      <w:start w:val="1"/>
      <w:numFmt w:val="bullet"/>
      <w:lvlRestart w:val="0"/>
      <w:lvlText w:val=""/>
      <w:lvlJc w:val="left"/>
      <w:pPr>
        <w:ind w:left="568" w:hanging="284"/>
      </w:pPr>
      <w:rPr>
        <w:rFonts w:ascii="Symbol" w:hAnsi="Symbol" w:hint="default"/>
        <w:color w:val="D43900"/>
      </w:rPr>
    </w:lvl>
    <w:lvl w:ilvl="2">
      <w:start w:val="1"/>
      <w:numFmt w:val="bullet"/>
      <w:lvlRestart w:val="0"/>
      <w:lvlText w:val=""/>
      <w:lvlJc w:val="left"/>
      <w:pPr>
        <w:ind w:left="852" w:hanging="284"/>
      </w:pPr>
      <w:rPr>
        <w:rFonts w:ascii="Symbol" w:hAnsi="Symbol" w:hint="default"/>
        <w:color w:val="D43900"/>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14" w15:restartNumberingAfterBreak="0">
    <w:nsid w:val="0DA11487"/>
    <w:multiLevelType w:val="hybridMultilevel"/>
    <w:tmpl w:val="4148B4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ECCDEC9"/>
    <w:multiLevelType w:val="hybridMultilevel"/>
    <w:tmpl w:val="FFFFFFFF"/>
    <w:lvl w:ilvl="0" w:tplc="DAB29186">
      <w:start w:val="1"/>
      <w:numFmt w:val="bullet"/>
      <w:lvlText w:val=""/>
      <w:lvlJc w:val="left"/>
      <w:pPr>
        <w:ind w:left="720" w:hanging="360"/>
      </w:pPr>
      <w:rPr>
        <w:rFonts w:ascii="Symbol" w:hAnsi="Symbol" w:hint="default"/>
      </w:rPr>
    </w:lvl>
    <w:lvl w:ilvl="1" w:tplc="64544722">
      <w:start w:val="1"/>
      <w:numFmt w:val="bullet"/>
      <w:lvlText w:val="o"/>
      <w:lvlJc w:val="left"/>
      <w:pPr>
        <w:ind w:left="1440" w:hanging="360"/>
      </w:pPr>
      <w:rPr>
        <w:rFonts w:ascii="Courier New" w:hAnsi="Courier New" w:hint="default"/>
      </w:rPr>
    </w:lvl>
    <w:lvl w:ilvl="2" w:tplc="67824870">
      <w:start w:val="1"/>
      <w:numFmt w:val="bullet"/>
      <w:lvlText w:val=""/>
      <w:lvlJc w:val="left"/>
      <w:pPr>
        <w:ind w:left="2160" w:hanging="360"/>
      </w:pPr>
      <w:rPr>
        <w:rFonts w:ascii="Wingdings" w:hAnsi="Wingdings" w:hint="default"/>
      </w:rPr>
    </w:lvl>
    <w:lvl w:ilvl="3" w:tplc="82F20FB4">
      <w:start w:val="1"/>
      <w:numFmt w:val="bullet"/>
      <w:lvlText w:val=""/>
      <w:lvlJc w:val="left"/>
      <w:pPr>
        <w:ind w:left="2880" w:hanging="360"/>
      </w:pPr>
      <w:rPr>
        <w:rFonts w:ascii="Symbol" w:hAnsi="Symbol" w:hint="default"/>
      </w:rPr>
    </w:lvl>
    <w:lvl w:ilvl="4" w:tplc="C5BE863A">
      <w:start w:val="1"/>
      <w:numFmt w:val="bullet"/>
      <w:lvlText w:val="o"/>
      <w:lvlJc w:val="left"/>
      <w:pPr>
        <w:ind w:left="3600" w:hanging="360"/>
      </w:pPr>
      <w:rPr>
        <w:rFonts w:ascii="Courier New" w:hAnsi="Courier New" w:hint="default"/>
      </w:rPr>
    </w:lvl>
    <w:lvl w:ilvl="5" w:tplc="D5FEEE3A">
      <w:start w:val="1"/>
      <w:numFmt w:val="bullet"/>
      <w:lvlText w:val=""/>
      <w:lvlJc w:val="left"/>
      <w:pPr>
        <w:ind w:left="4320" w:hanging="360"/>
      </w:pPr>
      <w:rPr>
        <w:rFonts w:ascii="Wingdings" w:hAnsi="Wingdings" w:hint="default"/>
      </w:rPr>
    </w:lvl>
    <w:lvl w:ilvl="6" w:tplc="DE7E3308">
      <w:start w:val="1"/>
      <w:numFmt w:val="bullet"/>
      <w:lvlText w:val=""/>
      <w:lvlJc w:val="left"/>
      <w:pPr>
        <w:ind w:left="5040" w:hanging="360"/>
      </w:pPr>
      <w:rPr>
        <w:rFonts w:ascii="Symbol" w:hAnsi="Symbol" w:hint="default"/>
      </w:rPr>
    </w:lvl>
    <w:lvl w:ilvl="7" w:tplc="1C487FFC">
      <w:start w:val="1"/>
      <w:numFmt w:val="bullet"/>
      <w:lvlText w:val="o"/>
      <w:lvlJc w:val="left"/>
      <w:pPr>
        <w:ind w:left="5760" w:hanging="360"/>
      </w:pPr>
      <w:rPr>
        <w:rFonts w:ascii="Courier New" w:hAnsi="Courier New" w:hint="default"/>
      </w:rPr>
    </w:lvl>
    <w:lvl w:ilvl="8" w:tplc="4412DE8C">
      <w:start w:val="1"/>
      <w:numFmt w:val="bullet"/>
      <w:lvlText w:val=""/>
      <w:lvlJc w:val="left"/>
      <w:pPr>
        <w:ind w:left="6480" w:hanging="360"/>
      </w:pPr>
      <w:rPr>
        <w:rFonts w:ascii="Wingdings" w:hAnsi="Wingdings" w:hint="default"/>
      </w:rPr>
    </w:lvl>
  </w:abstractNum>
  <w:abstractNum w:abstractNumId="16" w15:restartNumberingAfterBreak="0">
    <w:nsid w:val="19674420"/>
    <w:multiLevelType w:val="multilevel"/>
    <w:tmpl w:val="C9B26D08"/>
    <w:lvl w:ilvl="0">
      <w:start w:val="1"/>
      <w:numFmt w:val="upperLetter"/>
      <w:lvlText w:val="%1"/>
      <w:lvlJc w:val="left"/>
      <w:pPr>
        <w:ind w:left="716" w:hanging="716"/>
      </w:pPr>
      <w:rPr>
        <w:rFonts w:hint="default"/>
        <w:color w:val="FFFFFF" w:themeColor="background1"/>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7" w15:restartNumberingAfterBreak="0">
    <w:nsid w:val="1A8479A0"/>
    <w:multiLevelType w:val="hybridMultilevel"/>
    <w:tmpl w:val="7660DC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06800A1"/>
    <w:multiLevelType w:val="hybridMultilevel"/>
    <w:tmpl w:val="B89257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2FE3034"/>
    <w:multiLevelType w:val="hybridMultilevel"/>
    <w:tmpl w:val="E572D7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7F17AE7"/>
    <w:multiLevelType w:val="hybridMultilevel"/>
    <w:tmpl w:val="833E58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8A86126"/>
    <w:multiLevelType w:val="hybridMultilevel"/>
    <w:tmpl w:val="77BE3F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A023E79"/>
    <w:multiLevelType w:val="hybridMultilevel"/>
    <w:tmpl w:val="D0CA6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A360ACD"/>
    <w:multiLevelType w:val="multilevel"/>
    <w:tmpl w:val="FD5C6196"/>
    <w:lvl w:ilvl="0">
      <w:start w:val="1"/>
      <w:numFmt w:val="bullet"/>
      <w:pStyle w:val="Bullet1"/>
      <w:lvlText w:val=""/>
      <w:lvlJc w:val="left"/>
      <w:pPr>
        <w:ind w:left="360" w:hanging="360"/>
      </w:pPr>
      <w:rPr>
        <w:rFonts w:ascii="Symbol" w:hAnsi="Symbol" w:hint="default"/>
        <w:color w:val="FF00FF"/>
      </w:rPr>
    </w:lvl>
    <w:lvl w:ilvl="1">
      <w:start w:val="1"/>
      <w:numFmt w:val="bullet"/>
      <w:lvlRestart w:val="0"/>
      <w:lvlText w:val=""/>
      <w:lvlJc w:val="left"/>
      <w:pPr>
        <w:ind w:left="568" w:hanging="284"/>
      </w:pPr>
      <w:rPr>
        <w:rFonts w:ascii="Symbol" w:hAnsi="Symbol" w:hint="default"/>
        <w:color w:val="D43900"/>
      </w:rPr>
    </w:lvl>
    <w:lvl w:ilvl="2">
      <w:start w:val="1"/>
      <w:numFmt w:val="bullet"/>
      <w:lvlRestart w:val="0"/>
      <w:lvlText w:val=""/>
      <w:lvlJc w:val="left"/>
      <w:pPr>
        <w:ind w:left="852" w:hanging="284"/>
      </w:pPr>
      <w:rPr>
        <w:rFonts w:ascii="Symbol" w:hAnsi="Symbol" w:hint="default"/>
        <w:color w:val="D43900"/>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24" w15:restartNumberingAfterBreak="0">
    <w:nsid w:val="33AE46DC"/>
    <w:multiLevelType w:val="hybridMultilevel"/>
    <w:tmpl w:val="62FA8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5AE1373"/>
    <w:multiLevelType w:val="hybridMultilevel"/>
    <w:tmpl w:val="808E64EC"/>
    <w:lvl w:ilvl="0" w:tplc="18CA66F2">
      <w:start w:val="1"/>
      <w:numFmt w:val="decimal"/>
      <w:pStyle w:val="Heading1Numbered"/>
      <w:lvlText w:val="%1."/>
      <w:lvlJc w:val="left"/>
      <w:pPr>
        <w:ind w:left="360" w:hanging="360"/>
      </w:pPr>
      <w:rPr>
        <w:rFonts w:hint="default"/>
        <w:color w:val="3F0731"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6B31CAF"/>
    <w:multiLevelType w:val="hybridMultilevel"/>
    <w:tmpl w:val="7802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3B707B69"/>
    <w:multiLevelType w:val="multilevel"/>
    <w:tmpl w:val="9586B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BB43233"/>
    <w:multiLevelType w:val="hybridMultilevel"/>
    <w:tmpl w:val="F75C1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BCB1C55"/>
    <w:multiLevelType w:val="hybridMultilevel"/>
    <w:tmpl w:val="609CAA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E004DDE"/>
    <w:multiLevelType w:val="hybridMultilevel"/>
    <w:tmpl w:val="18F02D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3D27172"/>
    <w:multiLevelType w:val="hybridMultilevel"/>
    <w:tmpl w:val="FFFFFFFF"/>
    <w:lvl w:ilvl="0" w:tplc="44140248">
      <w:start w:val="1"/>
      <w:numFmt w:val="bullet"/>
      <w:lvlText w:val=""/>
      <w:lvlJc w:val="left"/>
      <w:pPr>
        <w:ind w:left="720" w:hanging="360"/>
      </w:pPr>
      <w:rPr>
        <w:rFonts w:ascii="Symbol" w:hAnsi="Symbol" w:hint="default"/>
      </w:rPr>
    </w:lvl>
    <w:lvl w:ilvl="1" w:tplc="BFC0DE96">
      <w:start w:val="1"/>
      <w:numFmt w:val="bullet"/>
      <w:lvlText w:val="o"/>
      <w:lvlJc w:val="left"/>
      <w:pPr>
        <w:ind w:left="1440" w:hanging="360"/>
      </w:pPr>
      <w:rPr>
        <w:rFonts w:ascii="Courier New" w:hAnsi="Courier New" w:hint="default"/>
      </w:rPr>
    </w:lvl>
    <w:lvl w:ilvl="2" w:tplc="E5A22434">
      <w:start w:val="1"/>
      <w:numFmt w:val="bullet"/>
      <w:lvlText w:val=""/>
      <w:lvlJc w:val="left"/>
      <w:pPr>
        <w:ind w:left="2160" w:hanging="360"/>
      </w:pPr>
      <w:rPr>
        <w:rFonts w:ascii="Wingdings" w:hAnsi="Wingdings" w:hint="default"/>
      </w:rPr>
    </w:lvl>
    <w:lvl w:ilvl="3" w:tplc="54ACA820">
      <w:start w:val="1"/>
      <w:numFmt w:val="bullet"/>
      <w:lvlText w:val=""/>
      <w:lvlJc w:val="left"/>
      <w:pPr>
        <w:ind w:left="2880" w:hanging="360"/>
      </w:pPr>
      <w:rPr>
        <w:rFonts w:ascii="Symbol" w:hAnsi="Symbol" w:hint="default"/>
      </w:rPr>
    </w:lvl>
    <w:lvl w:ilvl="4" w:tplc="8732F15C">
      <w:start w:val="1"/>
      <w:numFmt w:val="bullet"/>
      <w:lvlText w:val="o"/>
      <w:lvlJc w:val="left"/>
      <w:pPr>
        <w:ind w:left="3600" w:hanging="360"/>
      </w:pPr>
      <w:rPr>
        <w:rFonts w:ascii="Courier New" w:hAnsi="Courier New" w:hint="default"/>
      </w:rPr>
    </w:lvl>
    <w:lvl w:ilvl="5" w:tplc="EC808040">
      <w:start w:val="1"/>
      <w:numFmt w:val="bullet"/>
      <w:lvlText w:val=""/>
      <w:lvlJc w:val="left"/>
      <w:pPr>
        <w:ind w:left="4320" w:hanging="360"/>
      </w:pPr>
      <w:rPr>
        <w:rFonts w:ascii="Wingdings" w:hAnsi="Wingdings" w:hint="default"/>
      </w:rPr>
    </w:lvl>
    <w:lvl w:ilvl="6" w:tplc="7C122A74">
      <w:start w:val="1"/>
      <w:numFmt w:val="bullet"/>
      <w:lvlText w:val=""/>
      <w:lvlJc w:val="left"/>
      <w:pPr>
        <w:ind w:left="5040" w:hanging="360"/>
      </w:pPr>
      <w:rPr>
        <w:rFonts w:ascii="Symbol" w:hAnsi="Symbol" w:hint="default"/>
      </w:rPr>
    </w:lvl>
    <w:lvl w:ilvl="7" w:tplc="23249A74">
      <w:start w:val="1"/>
      <w:numFmt w:val="bullet"/>
      <w:lvlText w:val="o"/>
      <w:lvlJc w:val="left"/>
      <w:pPr>
        <w:ind w:left="5760" w:hanging="360"/>
      </w:pPr>
      <w:rPr>
        <w:rFonts w:ascii="Courier New" w:hAnsi="Courier New" w:hint="default"/>
      </w:rPr>
    </w:lvl>
    <w:lvl w:ilvl="8" w:tplc="FB5EDBEE">
      <w:start w:val="1"/>
      <w:numFmt w:val="bullet"/>
      <w:lvlText w:val=""/>
      <w:lvlJc w:val="left"/>
      <w:pPr>
        <w:ind w:left="6480" w:hanging="360"/>
      </w:pPr>
      <w:rPr>
        <w:rFonts w:ascii="Wingdings" w:hAnsi="Wingdings" w:hint="default"/>
      </w:rPr>
    </w:lvl>
  </w:abstractNum>
  <w:abstractNum w:abstractNumId="32" w15:restartNumberingAfterBreak="0">
    <w:nsid w:val="47735D1B"/>
    <w:multiLevelType w:val="hybridMultilevel"/>
    <w:tmpl w:val="20887E8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4CCA297C"/>
    <w:multiLevelType w:val="hybridMultilevel"/>
    <w:tmpl w:val="E03C0DBE"/>
    <w:lvl w:ilvl="0" w:tplc="72B87F12">
      <w:start w:val="1"/>
      <w:numFmt w:val="bullet"/>
      <w:pStyle w:val="Bullet3"/>
      <w:lvlText w:val=""/>
      <w:lvlJc w:val="left"/>
      <w:pPr>
        <w:ind w:left="1288" w:hanging="360"/>
      </w:pPr>
      <w:rPr>
        <w:rFonts w:ascii="Symbol" w:hAnsi="Symbol" w:hint="default"/>
        <w:color w:val="FF00FF"/>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34" w15:restartNumberingAfterBreak="0">
    <w:nsid w:val="4EAF5707"/>
    <w:multiLevelType w:val="hybridMultilevel"/>
    <w:tmpl w:val="CB7ABB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530368CE"/>
    <w:multiLevelType w:val="hybridMultilevel"/>
    <w:tmpl w:val="C47EC9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DDA40BB"/>
    <w:multiLevelType w:val="hybridMultilevel"/>
    <w:tmpl w:val="004C9D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8571AA"/>
    <w:multiLevelType w:val="hybridMultilevel"/>
    <w:tmpl w:val="B2029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A1610D5"/>
    <w:multiLevelType w:val="multilevel"/>
    <w:tmpl w:val="7D7CA560"/>
    <w:styleLink w:val="NumberedBulletsList"/>
    <w:lvl w:ilvl="0">
      <w:start w:val="1"/>
      <w:numFmt w:val="decimal"/>
      <w:lvlText w:val="%1."/>
      <w:lvlJc w:val="left"/>
      <w:pPr>
        <w:ind w:left="284" w:hanging="284"/>
      </w:pPr>
      <w:rPr>
        <w:rFonts w:hint="default"/>
      </w:rPr>
    </w:lvl>
    <w:lvl w:ilvl="1">
      <w:start w:val="1"/>
      <w:numFmt w:val="decimal"/>
      <w:lvlText w:val="%1.%2."/>
      <w:lvlJc w:val="left"/>
      <w:pPr>
        <w:ind w:left="737" w:hanging="453"/>
      </w:pPr>
      <w:rPr>
        <w:rFonts w:hint="default"/>
      </w:rPr>
    </w:lvl>
    <w:lvl w:ilvl="2">
      <w:start w:val="1"/>
      <w:numFmt w:val="decimal"/>
      <w:lvlText w:val="%1.%2.%3."/>
      <w:lvlJc w:val="left"/>
      <w:pPr>
        <w:ind w:left="1021" w:hanging="284"/>
      </w:pPr>
      <w:rPr>
        <w:rFonts w:hint="default"/>
      </w:rPr>
    </w:lvl>
    <w:lvl w:ilvl="3">
      <w:start w:val="1"/>
      <w:numFmt w:val="none"/>
      <w:lvlText w:val=""/>
      <w:lvlJc w:val="left"/>
      <w:pPr>
        <w:ind w:left="1646" w:hanging="284"/>
      </w:pPr>
      <w:rPr>
        <w:rFonts w:hint="default"/>
      </w:rPr>
    </w:lvl>
    <w:lvl w:ilvl="4">
      <w:start w:val="1"/>
      <w:numFmt w:val="none"/>
      <w:lvlText w:val=""/>
      <w:lvlJc w:val="left"/>
      <w:pPr>
        <w:ind w:left="2100" w:hanging="284"/>
      </w:pPr>
      <w:rPr>
        <w:rFonts w:hint="default"/>
      </w:rPr>
    </w:lvl>
    <w:lvl w:ilvl="5">
      <w:start w:val="1"/>
      <w:numFmt w:val="none"/>
      <w:lvlText w:val=""/>
      <w:lvlJc w:val="left"/>
      <w:pPr>
        <w:ind w:left="2554" w:hanging="284"/>
      </w:pPr>
      <w:rPr>
        <w:rFonts w:hint="default"/>
      </w:rPr>
    </w:lvl>
    <w:lvl w:ilvl="6">
      <w:start w:val="1"/>
      <w:numFmt w:val="none"/>
      <w:lvlText w:val=""/>
      <w:lvlJc w:val="left"/>
      <w:pPr>
        <w:ind w:left="3008" w:hanging="284"/>
      </w:pPr>
      <w:rPr>
        <w:rFonts w:hint="default"/>
      </w:rPr>
    </w:lvl>
    <w:lvl w:ilvl="7">
      <w:start w:val="1"/>
      <w:numFmt w:val="none"/>
      <w:lvlText w:val=""/>
      <w:lvlJc w:val="left"/>
      <w:pPr>
        <w:ind w:left="3462" w:hanging="284"/>
      </w:pPr>
      <w:rPr>
        <w:rFonts w:hint="default"/>
      </w:rPr>
    </w:lvl>
    <w:lvl w:ilvl="8">
      <w:start w:val="1"/>
      <w:numFmt w:val="none"/>
      <w:lvlText w:val=""/>
      <w:lvlJc w:val="left"/>
      <w:pPr>
        <w:ind w:left="3916" w:hanging="284"/>
      </w:pPr>
      <w:rPr>
        <w:rFonts w:hint="default"/>
      </w:rPr>
    </w:lvl>
  </w:abstractNum>
  <w:abstractNum w:abstractNumId="39" w15:restartNumberingAfterBreak="0">
    <w:nsid w:val="6BAC771A"/>
    <w:multiLevelType w:val="hybridMultilevel"/>
    <w:tmpl w:val="D7B614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C19419A"/>
    <w:multiLevelType w:val="hybridMultilevel"/>
    <w:tmpl w:val="B4C0A286"/>
    <w:lvl w:ilvl="0" w:tplc="972E6C4A">
      <w:start w:val="1"/>
      <w:numFmt w:val="bullet"/>
      <w:pStyle w:val="Bullet2"/>
      <w:lvlText w:val=""/>
      <w:lvlJc w:val="left"/>
      <w:pPr>
        <w:ind w:left="1004" w:hanging="360"/>
      </w:pPr>
      <w:rPr>
        <w:rFonts w:ascii="Symbol" w:hAnsi="Symbol" w:hint="default"/>
        <w:color w:val="FF00FF"/>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1" w15:restartNumberingAfterBreak="0">
    <w:nsid w:val="778E4D1C"/>
    <w:multiLevelType w:val="multilevel"/>
    <w:tmpl w:val="A48E799E"/>
    <w:lvl w:ilvl="0">
      <w:start w:val="1"/>
      <w:numFmt w:val="decimal"/>
      <w:pStyle w:val="NumberedBullet1"/>
      <w:lvlText w:val="%1."/>
      <w:lvlJc w:val="left"/>
      <w:pPr>
        <w:ind w:left="284" w:hanging="284"/>
      </w:pPr>
      <w:rPr>
        <w:rFonts w:hint="default"/>
      </w:rPr>
    </w:lvl>
    <w:lvl w:ilvl="1">
      <w:start w:val="1"/>
      <w:numFmt w:val="decimal"/>
      <w:pStyle w:val="NumberedBullet2"/>
      <w:lvlText w:val="%1.%2."/>
      <w:lvlJc w:val="left"/>
      <w:pPr>
        <w:ind w:left="737" w:hanging="453"/>
      </w:pPr>
      <w:rPr>
        <w:rFonts w:hint="default"/>
      </w:rPr>
    </w:lvl>
    <w:lvl w:ilvl="2">
      <w:start w:val="1"/>
      <w:numFmt w:val="decimal"/>
      <w:pStyle w:val="NumberedBullet3"/>
      <w:lvlText w:val="%1.%2.%3."/>
      <w:lvlJc w:val="left"/>
      <w:pPr>
        <w:ind w:left="1021" w:hanging="284"/>
      </w:pPr>
      <w:rPr>
        <w:rFonts w:hint="default"/>
      </w:rPr>
    </w:lvl>
    <w:lvl w:ilvl="3">
      <w:start w:val="1"/>
      <w:numFmt w:val="none"/>
      <w:lvlText w:val=""/>
      <w:lvlJc w:val="left"/>
      <w:pPr>
        <w:ind w:left="1646" w:hanging="284"/>
      </w:pPr>
      <w:rPr>
        <w:rFonts w:hint="default"/>
      </w:rPr>
    </w:lvl>
    <w:lvl w:ilvl="4">
      <w:start w:val="1"/>
      <w:numFmt w:val="none"/>
      <w:lvlText w:val=""/>
      <w:lvlJc w:val="left"/>
      <w:pPr>
        <w:ind w:left="2100" w:hanging="284"/>
      </w:pPr>
      <w:rPr>
        <w:rFonts w:hint="default"/>
      </w:rPr>
    </w:lvl>
    <w:lvl w:ilvl="5">
      <w:start w:val="1"/>
      <w:numFmt w:val="none"/>
      <w:lvlText w:val=""/>
      <w:lvlJc w:val="left"/>
      <w:pPr>
        <w:ind w:left="2554" w:hanging="284"/>
      </w:pPr>
      <w:rPr>
        <w:rFonts w:hint="default"/>
      </w:rPr>
    </w:lvl>
    <w:lvl w:ilvl="6">
      <w:start w:val="1"/>
      <w:numFmt w:val="none"/>
      <w:lvlText w:val=""/>
      <w:lvlJc w:val="left"/>
      <w:pPr>
        <w:ind w:left="3008" w:hanging="284"/>
      </w:pPr>
      <w:rPr>
        <w:rFonts w:hint="default"/>
      </w:rPr>
    </w:lvl>
    <w:lvl w:ilvl="7">
      <w:start w:val="1"/>
      <w:numFmt w:val="none"/>
      <w:lvlText w:val=""/>
      <w:lvlJc w:val="left"/>
      <w:pPr>
        <w:ind w:left="3462" w:hanging="284"/>
      </w:pPr>
      <w:rPr>
        <w:rFonts w:hint="default"/>
      </w:rPr>
    </w:lvl>
    <w:lvl w:ilvl="8">
      <w:start w:val="1"/>
      <w:numFmt w:val="none"/>
      <w:lvlText w:val=""/>
      <w:lvlJc w:val="left"/>
      <w:pPr>
        <w:ind w:left="3916" w:hanging="284"/>
      </w:pPr>
      <w:rPr>
        <w:rFonts w:hint="default"/>
      </w:rPr>
    </w:lvl>
  </w:abstractNum>
  <w:abstractNum w:abstractNumId="42" w15:restartNumberingAfterBreak="0">
    <w:nsid w:val="78B75034"/>
    <w:multiLevelType w:val="hybridMultilevel"/>
    <w:tmpl w:val="4C9C52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96C029A"/>
    <w:multiLevelType w:val="hybridMultilevel"/>
    <w:tmpl w:val="EAE287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8840366">
    <w:abstractNumId w:val="9"/>
  </w:num>
  <w:num w:numId="2" w16cid:durableId="1631471937">
    <w:abstractNumId w:val="7"/>
  </w:num>
  <w:num w:numId="3" w16cid:durableId="186868467">
    <w:abstractNumId w:val="6"/>
  </w:num>
  <w:num w:numId="4" w16cid:durableId="1738285083">
    <w:abstractNumId w:val="5"/>
  </w:num>
  <w:num w:numId="5" w16cid:durableId="992416223">
    <w:abstractNumId w:val="4"/>
  </w:num>
  <w:num w:numId="6" w16cid:durableId="1066412967">
    <w:abstractNumId w:val="8"/>
  </w:num>
  <w:num w:numId="7" w16cid:durableId="371350953">
    <w:abstractNumId w:val="3"/>
  </w:num>
  <w:num w:numId="8" w16cid:durableId="2008558331">
    <w:abstractNumId w:val="2"/>
  </w:num>
  <w:num w:numId="9" w16cid:durableId="1590698444">
    <w:abstractNumId w:val="1"/>
  </w:num>
  <w:num w:numId="10" w16cid:durableId="321347623">
    <w:abstractNumId w:val="0"/>
  </w:num>
  <w:num w:numId="11" w16cid:durableId="400979428">
    <w:abstractNumId w:val="38"/>
  </w:num>
  <w:num w:numId="12" w16cid:durableId="351030145">
    <w:abstractNumId w:val="13"/>
  </w:num>
  <w:num w:numId="13" w16cid:durableId="1110398056">
    <w:abstractNumId w:val="11"/>
    <w:lvlOverride w:ilvl="0">
      <w:startOverride w:val="1"/>
    </w:lvlOverride>
  </w:num>
  <w:num w:numId="14" w16cid:durableId="773330063">
    <w:abstractNumId w:val="16"/>
  </w:num>
  <w:num w:numId="15" w16cid:durableId="524292369">
    <w:abstractNumId w:val="23"/>
  </w:num>
  <w:num w:numId="16" w16cid:durableId="262226089">
    <w:abstractNumId w:val="40"/>
  </w:num>
  <w:num w:numId="17" w16cid:durableId="836068324">
    <w:abstractNumId w:val="33"/>
  </w:num>
  <w:num w:numId="18" w16cid:durableId="992180457">
    <w:abstractNumId w:val="41"/>
    <w:lvlOverride w:ilvl="0">
      <w:startOverride w:val="1"/>
      <w:lvl w:ilvl="0">
        <w:start w:val="1"/>
        <w:numFmt w:val="decimal"/>
        <w:pStyle w:val="NumberedBullet1"/>
        <w:lvlText w:val="%1."/>
        <w:lvlJc w:val="left"/>
        <w:pPr>
          <w:ind w:left="284" w:hanging="284"/>
        </w:pPr>
        <w:rPr>
          <w:rFonts w:hint="default"/>
        </w:rPr>
      </w:lvl>
    </w:lvlOverride>
    <w:lvlOverride w:ilvl="1">
      <w:startOverride w:val="1"/>
      <w:lvl w:ilvl="1">
        <w:start w:val="1"/>
        <w:numFmt w:val="decimal"/>
        <w:pStyle w:val="NumberedBullet2"/>
        <w:lvlText w:val="%1.%2."/>
        <w:lvlJc w:val="left"/>
        <w:pPr>
          <w:ind w:left="737" w:hanging="453"/>
        </w:pPr>
        <w:rPr>
          <w:rFonts w:hint="default"/>
        </w:rPr>
      </w:lvl>
    </w:lvlOverride>
    <w:lvlOverride w:ilvl="2">
      <w:startOverride w:val="1"/>
      <w:lvl w:ilvl="2">
        <w:start w:val="1"/>
        <w:numFmt w:val="decimal"/>
        <w:pStyle w:val="NumberedBullet3"/>
        <w:lvlText w:val="%1.%2.%3."/>
        <w:lvlJc w:val="left"/>
        <w:pPr>
          <w:ind w:left="1021" w:hanging="284"/>
        </w:pPr>
        <w:rPr>
          <w:rFonts w:hint="default"/>
        </w:rPr>
      </w:lvl>
    </w:lvlOverride>
    <w:lvlOverride w:ilvl="3">
      <w:startOverride w:val="1"/>
      <w:lvl w:ilvl="3">
        <w:start w:val="1"/>
        <w:numFmt w:val="none"/>
        <w:lvlText w:val=""/>
        <w:lvlJc w:val="left"/>
        <w:pPr>
          <w:ind w:left="1646" w:hanging="284"/>
        </w:pPr>
        <w:rPr>
          <w:rFonts w:hint="default"/>
        </w:rPr>
      </w:lvl>
    </w:lvlOverride>
    <w:lvlOverride w:ilvl="4">
      <w:startOverride w:val="1"/>
      <w:lvl w:ilvl="4">
        <w:start w:val="1"/>
        <w:numFmt w:val="none"/>
        <w:lvlText w:val=""/>
        <w:lvlJc w:val="left"/>
        <w:pPr>
          <w:ind w:left="2100" w:hanging="284"/>
        </w:pPr>
        <w:rPr>
          <w:rFonts w:hint="default"/>
        </w:rPr>
      </w:lvl>
    </w:lvlOverride>
    <w:lvlOverride w:ilvl="5">
      <w:startOverride w:val="1"/>
      <w:lvl w:ilvl="5">
        <w:start w:val="1"/>
        <w:numFmt w:val="none"/>
        <w:lvlText w:val=""/>
        <w:lvlJc w:val="left"/>
        <w:pPr>
          <w:ind w:left="2554" w:hanging="284"/>
        </w:pPr>
        <w:rPr>
          <w:rFonts w:hint="default"/>
        </w:rPr>
      </w:lvl>
    </w:lvlOverride>
    <w:lvlOverride w:ilvl="6">
      <w:startOverride w:val="1"/>
      <w:lvl w:ilvl="6">
        <w:start w:val="1"/>
        <w:numFmt w:val="none"/>
        <w:lvlText w:val=""/>
        <w:lvlJc w:val="left"/>
        <w:pPr>
          <w:ind w:left="3008" w:hanging="284"/>
        </w:pPr>
        <w:rPr>
          <w:rFonts w:hint="default"/>
        </w:rPr>
      </w:lvl>
    </w:lvlOverride>
    <w:lvlOverride w:ilvl="7">
      <w:startOverride w:val="1"/>
      <w:lvl w:ilvl="7">
        <w:start w:val="1"/>
        <w:numFmt w:val="none"/>
        <w:lvlText w:val=""/>
        <w:lvlJc w:val="left"/>
        <w:pPr>
          <w:ind w:left="3462" w:hanging="284"/>
        </w:pPr>
        <w:rPr>
          <w:rFonts w:hint="default"/>
        </w:rPr>
      </w:lvl>
    </w:lvlOverride>
    <w:lvlOverride w:ilvl="8">
      <w:startOverride w:val="1"/>
      <w:lvl w:ilvl="8">
        <w:start w:val="1"/>
        <w:numFmt w:val="none"/>
        <w:lvlText w:val=""/>
        <w:lvlJc w:val="left"/>
        <w:pPr>
          <w:ind w:left="3916" w:hanging="284"/>
        </w:pPr>
        <w:rPr>
          <w:rFonts w:hint="default"/>
        </w:rPr>
      </w:lvl>
    </w:lvlOverride>
  </w:num>
  <w:num w:numId="19" w16cid:durableId="490758495">
    <w:abstractNumId w:val="25"/>
  </w:num>
  <w:num w:numId="20" w16cid:durableId="152526884">
    <w:abstractNumId w:val="12"/>
  </w:num>
  <w:num w:numId="21" w16cid:durableId="146092223">
    <w:abstractNumId w:val="29"/>
  </w:num>
  <w:num w:numId="22" w16cid:durableId="1167473670">
    <w:abstractNumId w:val="10"/>
  </w:num>
  <w:num w:numId="23" w16cid:durableId="1593276785">
    <w:abstractNumId w:val="22"/>
  </w:num>
  <w:num w:numId="24" w16cid:durableId="1484351876">
    <w:abstractNumId w:val="26"/>
  </w:num>
  <w:num w:numId="25" w16cid:durableId="1704210342">
    <w:abstractNumId w:val="19"/>
  </w:num>
  <w:num w:numId="26" w16cid:durableId="1767656450">
    <w:abstractNumId w:val="20"/>
  </w:num>
  <w:num w:numId="27" w16cid:durableId="758675572">
    <w:abstractNumId w:val="34"/>
  </w:num>
  <w:num w:numId="28" w16cid:durableId="290215572">
    <w:abstractNumId w:val="24"/>
  </w:num>
  <w:num w:numId="29" w16cid:durableId="598025073">
    <w:abstractNumId w:val="39"/>
  </w:num>
  <w:num w:numId="30" w16cid:durableId="6493768">
    <w:abstractNumId w:val="14"/>
  </w:num>
  <w:num w:numId="31" w16cid:durableId="245964904">
    <w:abstractNumId w:val="42"/>
  </w:num>
  <w:num w:numId="32" w16cid:durableId="323700019">
    <w:abstractNumId w:val="37"/>
  </w:num>
  <w:num w:numId="33" w16cid:durableId="1122069734">
    <w:abstractNumId w:val="43"/>
  </w:num>
  <w:num w:numId="34" w16cid:durableId="168910778">
    <w:abstractNumId w:val="17"/>
  </w:num>
  <w:num w:numId="35" w16cid:durableId="685013130">
    <w:abstractNumId w:val="18"/>
  </w:num>
  <w:num w:numId="36" w16cid:durableId="842740026">
    <w:abstractNumId w:val="30"/>
  </w:num>
  <w:num w:numId="37" w16cid:durableId="1931766812">
    <w:abstractNumId w:val="28"/>
  </w:num>
  <w:num w:numId="38" w16cid:durableId="1836527529">
    <w:abstractNumId w:val="21"/>
  </w:num>
  <w:num w:numId="39" w16cid:durableId="453213297">
    <w:abstractNumId w:val="35"/>
  </w:num>
  <w:num w:numId="40" w16cid:durableId="665670404">
    <w:abstractNumId w:val="27"/>
  </w:num>
  <w:num w:numId="41" w16cid:durableId="564532580">
    <w:abstractNumId w:val="31"/>
  </w:num>
  <w:num w:numId="42" w16cid:durableId="1815022438">
    <w:abstractNumId w:val="15"/>
  </w:num>
  <w:num w:numId="43" w16cid:durableId="433861433">
    <w:abstractNumId w:val="32"/>
  </w:num>
  <w:num w:numId="44" w16cid:durableId="1765807627">
    <w:abstractNumId w:val="3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linkStyle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6DD"/>
    <w:rsid w:val="000000C6"/>
    <w:rsid w:val="0000092C"/>
    <w:rsid w:val="000017C7"/>
    <w:rsid w:val="00006547"/>
    <w:rsid w:val="00006F07"/>
    <w:rsid w:val="00007028"/>
    <w:rsid w:val="00007AC8"/>
    <w:rsid w:val="00011992"/>
    <w:rsid w:val="00013752"/>
    <w:rsid w:val="00015A2A"/>
    <w:rsid w:val="00016169"/>
    <w:rsid w:val="00020EB5"/>
    <w:rsid w:val="00021319"/>
    <w:rsid w:val="000213BA"/>
    <w:rsid w:val="000218CE"/>
    <w:rsid w:val="00022819"/>
    <w:rsid w:val="00022B39"/>
    <w:rsid w:val="0002463D"/>
    <w:rsid w:val="000246B0"/>
    <w:rsid w:val="000248FB"/>
    <w:rsid w:val="00027845"/>
    <w:rsid w:val="00030017"/>
    <w:rsid w:val="00030548"/>
    <w:rsid w:val="00031305"/>
    <w:rsid w:val="0003395B"/>
    <w:rsid w:val="00034DE8"/>
    <w:rsid w:val="00036E0D"/>
    <w:rsid w:val="00036ECA"/>
    <w:rsid w:val="00037208"/>
    <w:rsid w:val="00037D0E"/>
    <w:rsid w:val="000404DD"/>
    <w:rsid w:val="00041BFC"/>
    <w:rsid w:val="000421C8"/>
    <w:rsid w:val="00042586"/>
    <w:rsid w:val="0004277D"/>
    <w:rsid w:val="00044183"/>
    <w:rsid w:val="00044829"/>
    <w:rsid w:val="00044DA4"/>
    <w:rsid w:val="00045569"/>
    <w:rsid w:val="00045851"/>
    <w:rsid w:val="0004599D"/>
    <w:rsid w:val="00047D4D"/>
    <w:rsid w:val="000501BC"/>
    <w:rsid w:val="00051F31"/>
    <w:rsid w:val="00052E48"/>
    <w:rsid w:val="00053545"/>
    <w:rsid w:val="00055072"/>
    <w:rsid w:val="0005556B"/>
    <w:rsid w:val="000556E6"/>
    <w:rsid w:val="00055F29"/>
    <w:rsid w:val="00061FBD"/>
    <w:rsid w:val="00062681"/>
    <w:rsid w:val="00062B8A"/>
    <w:rsid w:val="00062E14"/>
    <w:rsid w:val="000636DF"/>
    <w:rsid w:val="000638EF"/>
    <w:rsid w:val="00063A73"/>
    <w:rsid w:val="00063CFD"/>
    <w:rsid w:val="0006482B"/>
    <w:rsid w:val="000652EE"/>
    <w:rsid w:val="0006536F"/>
    <w:rsid w:val="00066ABB"/>
    <w:rsid w:val="00067FC7"/>
    <w:rsid w:val="0007067B"/>
    <w:rsid w:val="00070BFC"/>
    <w:rsid w:val="000714E6"/>
    <w:rsid w:val="00071FE5"/>
    <w:rsid w:val="00072FFA"/>
    <w:rsid w:val="00073245"/>
    <w:rsid w:val="00073AA7"/>
    <w:rsid w:val="00073F44"/>
    <w:rsid w:val="00076586"/>
    <w:rsid w:val="00076D4C"/>
    <w:rsid w:val="000772BB"/>
    <w:rsid w:val="000773B8"/>
    <w:rsid w:val="00081106"/>
    <w:rsid w:val="000816B3"/>
    <w:rsid w:val="00081F84"/>
    <w:rsid w:val="00081FD6"/>
    <w:rsid w:val="000821BE"/>
    <w:rsid w:val="00083974"/>
    <w:rsid w:val="00083E12"/>
    <w:rsid w:val="0008410D"/>
    <w:rsid w:val="000847DC"/>
    <w:rsid w:val="00084C5F"/>
    <w:rsid w:val="00087020"/>
    <w:rsid w:val="000905C5"/>
    <w:rsid w:val="0009142C"/>
    <w:rsid w:val="0009211E"/>
    <w:rsid w:val="0009276B"/>
    <w:rsid w:val="00092C02"/>
    <w:rsid w:val="00092D2F"/>
    <w:rsid w:val="00093369"/>
    <w:rsid w:val="000946F1"/>
    <w:rsid w:val="00094E5F"/>
    <w:rsid w:val="00094F88"/>
    <w:rsid w:val="0009609C"/>
    <w:rsid w:val="000966D4"/>
    <w:rsid w:val="00097FED"/>
    <w:rsid w:val="000A0AC0"/>
    <w:rsid w:val="000A1C65"/>
    <w:rsid w:val="000A2C20"/>
    <w:rsid w:val="000A3E14"/>
    <w:rsid w:val="000A4598"/>
    <w:rsid w:val="000A730E"/>
    <w:rsid w:val="000A7AB3"/>
    <w:rsid w:val="000B0F9C"/>
    <w:rsid w:val="000B19B2"/>
    <w:rsid w:val="000B1B73"/>
    <w:rsid w:val="000B296B"/>
    <w:rsid w:val="000B304C"/>
    <w:rsid w:val="000B3F97"/>
    <w:rsid w:val="000B475E"/>
    <w:rsid w:val="000B5338"/>
    <w:rsid w:val="000B6756"/>
    <w:rsid w:val="000B6A4C"/>
    <w:rsid w:val="000B7E99"/>
    <w:rsid w:val="000C0D0A"/>
    <w:rsid w:val="000C3461"/>
    <w:rsid w:val="000C35E2"/>
    <w:rsid w:val="000C3A84"/>
    <w:rsid w:val="000C411F"/>
    <w:rsid w:val="000C4CD3"/>
    <w:rsid w:val="000C5017"/>
    <w:rsid w:val="000C53DB"/>
    <w:rsid w:val="000C60C2"/>
    <w:rsid w:val="000C6124"/>
    <w:rsid w:val="000C61B3"/>
    <w:rsid w:val="000C64F6"/>
    <w:rsid w:val="000C66C7"/>
    <w:rsid w:val="000C72E7"/>
    <w:rsid w:val="000D16EC"/>
    <w:rsid w:val="000D18E2"/>
    <w:rsid w:val="000D2220"/>
    <w:rsid w:val="000D2D6A"/>
    <w:rsid w:val="000D3A7B"/>
    <w:rsid w:val="000D3E58"/>
    <w:rsid w:val="000D4C01"/>
    <w:rsid w:val="000D54B9"/>
    <w:rsid w:val="000D65A7"/>
    <w:rsid w:val="000E068A"/>
    <w:rsid w:val="000E1DE7"/>
    <w:rsid w:val="000E1ECB"/>
    <w:rsid w:val="000E3824"/>
    <w:rsid w:val="000E43B5"/>
    <w:rsid w:val="000E496F"/>
    <w:rsid w:val="000E5122"/>
    <w:rsid w:val="000E5468"/>
    <w:rsid w:val="000E6380"/>
    <w:rsid w:val="000E6C6B"/>
    <w:rsid w:val="000F033D"/>
    <w:rsid w:val="000F0452"/>
    <w:rsid w:val="000F0DDA"/>
    <w:rsid w:val="000F120C"/>
    <w:rsid w:val="000F224C"/>
    <w:rsid w:val="000F339B"/>
    <w:rsid w:val="000F3E38"/>
    <w:rsid w:val="000F475A"/>
    <w:rsid w:val="000F5DF1"/>
    <w:rsid w:val="000F65D6"/>
    <w:rsid w:val="000F67B8"/>
    <w:rsid w:val="000F70CB"/>
    <w:rsid w:val="00101EEA"/>
    <w:rsid w:val="0010311E"/>
    <w:rsid w:val="00103306"/>
    <w:rsid w:val="00103DA4"/>
    <w:rsid w:val="00104C6E"/>
    <w:rsid w:val="00105B4C"/>
    <w:rsid w:val="001060D4"/>
    <w:rsid w:val="00106B84"/>
    <w:rsid w:val="00107C4C"/>
    <w:rsid w:val="00110513"/>
    <w:rsid w:val="00110F32"/>
    <w:rsid w:val="00111335"/>
    <w:rsid w:val="00112C46"/>
    <w:rsid w:val="00113407"/>
    <w:rsid w:val="00113704"/>
    <w:rsid w:val="001137FB"/>
    <w:rsid w:val="0011389F"/>
    <w:rsid w:val="00113BF5"/>
    <w:rsid w:val="00113CB3"/>
    <w:rsid w:val="00113F39"/>
    <w:rsid w:val="0011423A"/>
    <w:rsid w:val="001145E7"/>
    <w:rsid w:val="00114BDB"/>
    <w:rsid w:val="001155B3"/>
    <w:rsid w:val="00116009"/>
    <w:rsid w:val="001171BD"/>
    <w:rsid w:val="001173F1"/>
    <w:rsid w:val="00117DA6"/>
    <w:rsid w:val="00120547"/>
    <w:rsid w:val="00124925"/>
    <w:rsid w:val="001252EE"/>
    <w:rsid w:val="001258BB"/>
    <w:rsid w:val="00127759"/>
    <w:rsid w:val="00130F65"/>
    <w:rsid w:val="001310F5"/>
    <w:rsid w:val="0013299C"/>
    <w:rsid w:val="00132C86"/>
    <w:rsid w:val="001340C9"/>
    <w:rsid w:val="001349FB"/>
    <w:rsid w:val="00134AC2"/>
    <w:rsid w:val="00134AF9"/>
    <w:rsid w:val="00134F82"/>
    <w:rsid w:val="00136258"/>
    <w:rsid w:val="0013659A"/>
    <w:rsid w:val="00136B6F"/>
    <w:rsid w:val="00137D1B"/>
    <w:rsid w:val="0014042A"/>
    <w:rsid w:val="00140C34"/>
    <w:rsid w:val="0014185A"/>
    <w:rsid w:val="001426CA"/>
    <w:rsid w:val="0014293F"/>
    <w:rsid w:val="001446CA"/>
    <w:rsid w:val="00144B27"/>
    <w:rsid w:val="00144C22"/>
    <w:rsid w:val="00144D31"/>
    <w:rsid w:val="0014661B"/>
    <w:rsid w:val="00146DE3"/>
    <w:rsid w:val="00146EC7"/>
    <w:rsid w:val="00147154"/>
    <w:rsid w:val="00147BF4"/>
    <w:rsid w:val="001510CA"/>
    <w:rsid w:val="001516B9"/>
    <w:rsid w:val="00151D8A"/>
    <w:rsid w:val="00152108"/>
    <w:rsid w:val="00152912"/>
    <w:rsid w:val="00153066"/>
    <w:rsid w:val="001535B0"/>
    <w:rsid w:val="001536C3"/>
    <w:rsid w:val="0015392C"/>
    <w:rsid w:val="00154713"/>
    <w:rsid w:val="00154C3B"/>
    <w:rsid w:val="00155105"/>
    <w:rsid w:val="00155E29"/>
    <w:rsid w:val="0015729B"/>
    <w:rsid w:val="001572D4"/>
    <w:rsid w:val="001575A9"/>
    <w:rsid w:val="00162ADF"/>
    <w:rsid w:val="0016326B"/>
    <w:rsid w:val="0016337B"/>
    <w:rsid w:val="00163578"/>
    <w:rsid w:val="00164401"/>
    <w:rsid w:val="0016480C"/>
    <w:rsid w:val="0016594A"/>
    <w:rsid w:val="001668BE"/>
    <w:rsid w:val="00166A57"/>
    <w:rsid w:val="00167222"/>
    <w:rsid w:val="0016758D"/>
    <w:rsid w:val="00170B39"/>
    <w:rsid w:val="0017122F"/>
    <w:rsid w:val="001722A3"/>
    <w:rsid w:val="00172340"/>
    <w:rsid w:val="00172ECF"/>
    <w:rsid w:val="00173215"/>
    <w:rsid w:val="0017346A"/>
    <w:rsid w:val="0017347D"/>
    <w:rsid w:val="00173549"/>
    <w:rsid w:val="00173FC9"/>
    <w:rsid w:val="00174406"/>
    <w:rsid w:val="00174DDF"/>
    <w:rsid w:val="0017581D"/>
    <w:rsid w:val="001766B8"/>
    <w:rsid w:val="00176FB8"/>
    <w:rsid w:val="00177CCF"/>
    <w:rsid w:val="00177D7F"/>
    <w:rsid w:val="00181B49"/>
    <w:rsid w:val="00181D61"/>
    <w:rsid w:val="00182168"/>
    <w:rsid w:val="001821D1"/>
    <w:rsid w:val="00182640"/>
    <w:rsid w:val="00182B03"/>
    <w:rsid w:val="00186A6D"/>
    <w:rsid w:val="00186DF4"/>
    <w:rsid w:val="00186FE8"/>
    <w:rsid w:val="001917FE"/>
    <w:rsid w:val="001920B4"/>
    <w:rsid w:val="00192165"/>
    <w:rsid w:val="001935DE"/>
    <w:rsid w:val="001938FD"/>
    <w:rsid w:val="00193E2E"/>
    <w:rsid w:val="00193F3F"/>
    <w:rsid w:val="0019567E"/>
    <w:rsid w:val="00195C2B"/>
    <w:rsid w:val="00195F73"/>
    <w:rsid w:val="001961D9"/>
    <w:rsid w:val="00196281"/>
    <w:rsid w:val="0019677B"/>
    <w:rsid w:val="001A00EE"/>
    <w:rsid w:val="001A170B"/>
    <w:rsid w:val="001A238A"/>
    <w:rsid w:val="001A24B0"/>
    <w:rsid w:val="001A3BE2"/>
    <w:rsid w:val="001A466F"/>
    <w:rsid w:val="001A4EB3"/>
    <w:rsid w:val="001A574A"/>
    <w:rsid w:val="001A6670"/>
    <w:rsid w:val="001B074B"/>
    <w:rsid w:val="001B33CC"/>
    <w:rsid w:val="001B3799"/>
    <w:rsid w:val="001B60BF"/>
    <w:rsid w:val="001B6BC6"/>
    <w:rsid w:val="001B799C"/>
    <w:rsid w:val="001B7A30"/>
    <w:rsid w:val="001B7D49"/>
    <w:rsid w:val="001C0639"/>
    <w:rsid w:val="001C067C"/>
    <w:rsid w:val="001C1108"/>
    <w:rsid w:val="001C1745"/>
    <w:rsid w:val="001C185D"/>
    <w:rsid w:val="001C1930"/>
    <w:rsid w:val="001C30D3"/>
    <w:rsid w:val="001C34FF"/>
    <w:rsid w:val="001C4ABF"/>
    <w:rsid w:val="001C4DB5"/>
    <w:rsid w:val="001C5933"/>
    <w:rsid w:val="001C67DA"/>
    <w:rsid w:val="001C6AB4"/>
    <w:rsid w:val="001C7AA0"/>
    <w:rsid w:val="001D00F7"/>
    <w:rsid w:val="001D0D4A"/>
    <w:rsid w:val="001D14F7"/>
    <w:rsid w:val="001D26B9"/>
    <w:rsid w:val="001D2FA5"/>
    <w:rsid w:val="001D3612"/>
    <w:rsid w:val="001D682C"/>
    <w:rsid w:val="001D7487"/>
    <w:rsid w:val="001E0B63"/>
    <w:rsid w:val="001E2110"/>
    <w:rsid w:val="001E25CB"/>
    <w:rsid w:val="001E2E4F"/>
    <w:rsid w:val="001E3322"/>
    <w:rsid w:val="001E372F"/>
    <w:rsid w:val="001E4924"/>
    <w:rsid w:val="001E54FC"/>
    <w:rsid w:val="001E6636"/>
    <w:rsid w:val="001E6B69"/>
    <w:rsid w:val="001E74F3"/>
    <w:rsid w:val="001E7752"/>
    <w:rsid w:val="001F04C9"/>
    <w:rsid w:val="001F0AA2"/>
    <w:rsid w:val="001F101E"/>
    <w:rsid w:val="001F1748"/>
    <w:rsid w:val="001F2EF2"/>
    <w:rsid w:val="001F3176"/>
    <w:rsid w:val="001F501A"/>
    <w:rsid w:val="001F59CD"/>
    <w:rsid w:val="001F6599"/>
    <w:rsid w:val="001F77DC"/>
    <w:rsid w:val="002005E2"/>
    <w:rsid w:val="00200D70"/>
    <w:rsid w:val="00200DBE"/>
    <w:rsid w:val="00200E17"/>
    <w:rsid w:val="0020128F"/>
    <w:rsid w:val="00204F4C"/>
    <w:rsid w:val="0020555B"/>
    <w:rsid w:val="00206388"/>
    <w:rsid w:val="002071F6"/>
    <w:rsid w:val="002071FF"/>
    <w:rsid w:val="002079F3"/>
    <w:rsid w:val="00207EBF"/>
    <w:rsid w:val="00207FF1"/>
    <w:rsid w:val="002121DE"/>
    <w:rsid w:val="002122D2"/>
    <w:rsid w:val="00213F92"/>
    <w:rsid w:val="00214026"/>
    <w:rsid w:val="0021404C"/>
    <w:rsid w:val="0021513D"/>
    <w:rsid w:val="00215172"/>
    <w:rsid w:val="002152FA"/>
    <w:rsid w:val="00215B3E"/>
    <w:rsid w:val="00216034"/>
    <w:rsid w:val="00216A65"/>
    <w:rsid w:val="00217E5E"/>
    <w:rsid w:val="00220292"/>
    <w:rsid w:val="00221B5A"/>
    <w:rsid w:val="002228F1"/>
    <w:rsid w:val="00223A62"/>
    <w:rsid w:val="002249DB"/>
    <w:rsid w:val="00224DCF"/>
    <w:rsid w:val="00225056"/>
    <w:rsid w:val="00226DDB"/>
    <w:rsid w:val="00226EAA"/>
    <w:rsid w:val="00227DEE"/>
    <w:rsid w:val="002327FC"/>
    <w:rsid w:val="00233A0A"/>
    <w:rsid w:val="0023612C"/>
    <w:rsid w:val="00236931"/>
    <w:rsid w:val="0024092B"/>
    <w:rsid w:val="00240F44"/>
    <w:rsid w:val="0024129E"/>
    <w:rsid w:val="00241AA1"/>
    <w:rsid w:val="00241B4F"/>
    <w:rsid w:val="00243FD9"/>
    <w:rsid w:val="00244E97"/>
    <w:rsid w:val="00246FF1"/>
    <w:rsid w:val="0024734E"/>
    <w:rsid w:val="00247BEE"/>
    <w:rsid w:val="002506C5"/>
    <w:rsid w:val="00251245"/>
    <w:rsid w:val="00251AC7"/>
    <w:rsid w:val="00253075"/>
    <w:rsid w:val="0025377E"/>
    <w:rsid w:val="00253FF0"/>
    <w:rsid w:val="00254702"/>
    <w:rsid w:val="00254ACB"/>
    <w:rsid w:val="00254EB1"/>
    <w:rsid w:val="0025501B"/>
    <w:rsid w:val="0025509C"/>
    <w:rsid w:val="002555F6"/>
    <w:rsid w:val="0025A78C"/>
    <w:rsid w:val="00261382"/>
    <w:rsid w:val="00261FDF"/>
    <w:rsid w:val="002636E5"/>
    <w:rsid w:val="00264B7D"/>
    <w:rsid w:val="00265B9C"/>
    <w:rsid w:val="00270497"/>
    <w:rsid w:val="00270DDA"/>
    <w:rsid w:val="00271135"/>
    <w:rsid w:val="00272013"/>
    <w:rsid w:val="002721BC"/>
    <w:rsid w:val="002727A5"/>
    <w:rsid w:val="00273931"/>
    <w:rsid w:val="00274FB1"/>
    <w:rsid w:val="0027568B"/>
    <w:rsid w:val="00275D22"/>
    <w:rsid w:val="00275E09"/>
    <w:rsid w:val="00276026"/>
    <w:rsid w:val="00276BA1"/>
    <w:rsid w:val="00276BB2"/>
    <w:rsid w:val="002774D8"/>
    <w:rsid w:val="00277702"/>
    <w:rsid w:val="002778F6"/>
    <w:rsid w:val="00277B32"/>
    <w:rsid w:val="00280106"/>
    <w:rsid w:val="002801CC"/>
    <w:rsid w:val="00281809"/>
    <w:rsid w:val="00281AB6"/>
    <w:rsid w:val="00281CDF"/>
    <w:rsid w:val="002827FE"/>
    <w:rsid w:val="00282A6B"/>
    <w:rsid w:val="00283604"/>
    <w:rsid w:val="00285D15"/>
    <w:rsid w:val="0028629B"/>
    <w:rsid w:val="00286477"/>
    <w:rsid w:val="002872AD"/>
    <w:rsid w:val="002874BE"/>
    <w:rsid w:val="002876A7"/>
    <w:rsid w:val="00290262"/>
    <w:rsid w:val="00290786"/>
    <w:rsid w:val="00290A66"/>
    <w:rsid w:val="002912E0"/>
    <w:rsid w:val="00291B33"/>
    <w:rsid w:val="00291E2C"/>
    <w:rsid w:val="0029281D"/>
    <w:rsid w:val="0029334F"/>
    <w:rsid w:val="00293E01"/>
    <w:rsid w:val="0029478F"/>
    <w:rsid w:val="002968DD"/>
    <w:rsid w:val="00297C15"/>
    <w:rsid w:val="002A0F5B"/>
    <w:rsid w:val="002A1A2D"/>
    <w:rsid w:val="002A21AE"/>
    <w:rsid w:val="002A42A5"/>
    <w:rsid w:val="002A44B8"/>
    <w:rsid w:val="002A47B7"/>
    <w:rsid w:val="002A4FD5"/>
    <w:rsid w:val="002A53AC"/>
    <w:rsid w:val="002A7C66"/>
    <w:rsid w:val="002B00F7"/>
    <w:rsid w:val="002B0E2D"/>
    <w:rsid w:val="002B1962"/>
    <w:rsid w:val="002B1FC9"/>
    <w:rsid w:val="002B1FE7"/>
    <w:rsid w:val="002B228B"/>
    <w:rsid w:val="002B25D2"/>
    <w:rsid w:val="002B3A58"/>
    <w:rsid w:val="002B43DB"/>
    <w:rsid w:val="002B56D4"/>
    <w:rsid w:val="002B6AD9"/>
    <w:rsid w:val="002C0FFF"/>
    <w:rsid w:val="002C112B"/>
    <w:rsid w:val="002C1211"/>
    <w:rsid w:val="002C1261"/>
    <w:rsid w:val="002C1683"/>
    <w:rsid w:val="002C2938"/>
    <w:rsid w:val="002C3C01"/>
    <w:rsid w:val="002C4AC0"/>
    <w:rsid w:val="002C4BAB"/>
    <w:rsid w:val="002C67B0"/>
    <w:rsid w:val="002C7A80"/>
    <w:rsid w:val="002D02A7"/>
    <w:rsid w:val="002D02FA"/>
    <w:rsid w:val="002D2D02"/>
    <w:rsid w:val="002D313A"/>
    <w:rsid w:val="002D3490"/>
    <w:rsid w:val="002D3503"/>
    <w:rsid w:val="002D3980"/>
    <w:rsid w:val="002D4CD5"/>
    <w:rsid w:val="002D5145"/>
    <w:rsid w:val="002D6406"/>
    <w:rsid w:val="002D6BAE"/>
    <w:rsid w:val="002D728B"/>
    <w:rsid w:val="002D771D"/>
    <w:rsid w:val="002E0E15"/>
    <w:rsid w:val="002E2BF9"/>
    <w:rsid w:val="002E7C27"/>
    <w:rsid w:val="002F3145"/>
    <w:rsid w:val="002F329C"/>
    <w:rsid w:val="002F3900"/>
    <w:rsid w:val="002F3F4B"/>
    <w:rsid w:val="002F450D"/>
    <w:rsid w:val="002F46B4"/>
    <w:rsid w:val="002F592C"/>
    <w:rsid w:val="002F6F4F"/>
    <w:rsid w:val="002F7DB8"/>
    <w:rsid w:val="0030034B"/>
    <w:rsid w:val="003003BD"/>
    <w:rsid w:val="00300CC5"/>
    <w:rsid w:val="0030117E"/>
    <w:rsid w:val="0030153C"/>
    <w:rsid w:val="00301C3D"/>
    <w:rsid w:val="00301EF5"/>
    <w:rsid w:val="00301FA6"/>
    <w:rsid w:val="0030205D"/>
    <w:rsid w:val="00302539"/>
    <w:rsid w:val="00303237"/>
    <w:rsid w:val="00304351"/>
    <w:rsid w:val="00305777"/>
    <w:rsid w:val="003067B1"/>
    <w:rsid w:val="00306812"/>
    <w:rsid w:val="003102FE"/>
    <w:rsid w:val="00310429"/>
    <w:rsid w:val="00310AB7"/>
    <w:rsid w:val="00311BF1"/>
    <w:rsid w:val="00313AED"/>
    <w:rsid w:val="00313E6E"/>
    <w:rsid w:val="00313E95"/>
    <w:rsid w:val="00314D99"/>
    <w:rsid w:val="00314E7F"/>
    <w:rsid w:val="00315F1A"/>
    <w:rsid w:val="0031633F"/>
    <w:rsid w:val="003179A9"/>
    <w:rsid w:val="00323E4E"/>
    <w:rsid w:val="00323F41"/>
    <w:rsid w:val="00325261"/>
    <w:rsid w:val="0032644E"/>
    <w:rsid w:val="0032666D"/>
    <w:rsid w:val="0033065A"/>
    <w:rsid w:val="00331CB7"/>
    <w:rsid w:val="00331EC9"/>
    <w:rsid w:val="0033243A"/>
    <w:rsid w:val="00332445"/>
    <w:rsid w:val="00332474"/>
    <w:rsid w:val="00332A06"/>
    <w:rsid w:val="0033397E"/>
    <w:rsid w:val="00333BB8"/>
    <w:rsid w:val="00333D82"/>
    <w:rsid w:val="00336494"/>
    <w:rsid w:val="0033690A"/>
    <w:rsid w:val="00336FC4"/>
    <w:rsid w:val="00337021"/>
    <w:rsid w:val="00337DDB"/>
    <w:rsid w:val="00340AAA"/>
    <w:rsid w:val="003414C3"/>
    <w:rsid w:val="00341DBA"/>
    <w:rsid w:val="003426AA"/>
    <w:rsid w:val="00342D7A"/>
    <w:rsid w:val="00342D8D"/>
    <w:rsid w:val="00342DF2"/>
    <w:rsid w:val="003441C5"/>
    <w:rsid w:val="0034494E"/>
    <w:rsid w:val="003463ED"/>
    <w:rsid w:val="00347736"/>
    <w:rsid w:val="003479D4"/>
    <w:rsid w:val="00350EB4"/>
    <w:rsid w:val="003524B1"/>
    <w:rsid w:val="0035258D"/>
    <w:rsid w:val="003526B2"/>
    <w:rsid w:val="003528CD"/>
    <w:rsid w:val="003530C7"/>
    <w:rsid w:val="00354256"/>
    <w:rsid w:val="003550C3"/>
    <w:rsid w:val="00355442"/>
    <w:rsid w:val="0035561E"/>
    <w:rsid w:val="00357149"/>
    <w:rsid w:val="00357D0B"/>
    <w:rsid w:val="00357E8D"/>
    <w:rsid w:val="0036093F"/>
    <w:rsid w:val="003616B4"/>
    <w:rsid w:val="00362ADD"/>
    <w:rsid w:val="00362E83"/>
    <w:rsid w:val="00363C99"/>
    <w:rsid w:val="003644FB"/>
    <w:rsid w:val="0036495F"/>
    <w:rsid w:val="00365E0F"/>
    <w:rsid w:val="003663FD"/>
    <w:rsid w:val="00366D93"/>
    <w:rsid w:val="00366FCC"/>
    <w:rsid w:val="003727C1"/>
    <w:rsid w:val="003738E5"/>
    <w:rsid w:val="00375931"/>
    <w:rsid w:val="00376923"/>
    <w:rsid w:val="00376C61"/>
    <w:rsid w:val="00377291"/>
    <w:rsid w:val="00377A6F"/>
    <w:rsid w:val="00377E80"/>
    <w:rsid w:val="003800A0"/>
    <w:rsid w:val="00381ABD"/>
    <w:rsid w:val="00382894"/>
    <w:rsid w:val="0038336D"/>
    <w:rsid w:val="003836C7"/>
    <w:rsid w:val="00383D0D"/>
    <w:rsid w:val="003853CD"/>
    <w:rsid w:val="00385BCF"/>
    <w:rsid w:val="00385C76"/>
    <w:rsid w:val="0039264B"/>
    <w:rsid w:val="00392DC9"/>
    <w:rsid w:val="00392E28"/>
    <w:rsid w:val="0039426F"/>
    <w:rsid w:val="00394C74"/>
    <w:rsid w:val="00394FD8"/>
    <w:rsid w:val="0039506D"/>
    <w:rsid w:val="00396BA9"/>
    <w:rsid w:val="00396FEA"/>
    <w:rsid w:val="00397D5B"/>
    <w:rsid w:val="003A0D55"/>
    <w:rsid w:val="003A1AA9"/>
    <w:rsid w:val="003A1D19"/>
    <w:rsid w:val="003A2982"/>
    <w:rsid w:val="003A2CB8"/>
    <w:rsid w:val="003A2D75"/>
    <w:rsid w:val="003A458E"/>
    <w:rsid w:val="003A4C44"/>
    <w:rsid w:val="003A69ED"/>
    <w:rsid w:val="003B23D7"/>
    <w:rsid w:val="003B3803"/>
    <w:rsid w:val="003B5C82"/>
    <w:rsid w:val="003B5C8F"/>
    <w:rsid w:val="003B6276"/>
    <w:rsid w:val="003B6831"/>
    <w:rsid w:val="003B6A3F"/>
    <w:rsid w:val="003B6D10"/>
    <w:rsid w:val="003B79DF"/>
    <w:rsid w:val="003C499D"/>
    <w:rsid w:val="003C53ED"/>
    <w:rsid w:val="003C5E30"/>
    <w:rsid w:val="003D01FA"/>
    <w:rsid w:val="003D3042"/>
    <w:rsid w:val="003D365A"/>
    <w:rsid w:val="003D41D0"/>
    <w:rsid w:val="003D5D55"/>
    <w:rsid w:val="003D606E"/>
    <w:rsid w:val="003D634B"/>
    <w:rsid w:val="003D6B83"/>
    <w:rsid w:val="003D7EE3"/>
    <w:rsid w:val="003E0A82"/>
    <w:rsid w:val="003E1527"/>
    <w:rsid w:val="003E245C"/>
    <w:rsid w:val="003E2810"/>
    <w:rsid w:val="003E2DA4"/>
    <w:rsid w:val="003E300B"/>
    <w:rsid w:val="003E4E47"/>
    <w:rsid w:val="003E59AF"/>
    <w:rsid w:val="003E66F7"/>
    <w:rsid w:val="003E780E"/>
    <w:rsid w:val="003F0415"/>
    <w:rsid w:val="003F31CB"/>
    <w:rsid w:val="003F3C92"/>
    <w:rsid w:val="003F4485"/>
    <w:rsid w:val="003F699C"/>
    <w:rsid w:val="00400625"/>
    <w:rsid w:val="00400E68"/>
    <w:rsid w:val="004011DE"/>
    <w:rsid w:val="00401C3C"/>
    <w:rsid w:val="00401DC8"/>
    <w:rsid w:val="00402213"/>
    <w:rsid w:val="00402C56"/>
    <w:rsid w:val="00403161"/>
    <w:rsid w:val="00404065"/>
    <w:rsid w:val="0040422E"/>
    <w:rsid w:val="00405212"/>
    <w:rsid w:val="004132D1"/>
    <w:rsid w:val="00413956"/>
    <w:rsid w:val="00413CEE"/>
    <w:rsid w:val="004140D9"/>
    <w:rsid w:val="0041583A"/>
    <w:rsid w:val="00415A85"/>
    <w:rsid w:val="004166B1"/>
    <w:rsid w:val="00416E60"/>
    <w:rsid w:val="004207C1"/>
    <w:rsid w:val="00420DE8"/>
    <w:rsid w:val="00423DA3"/>
    <w:rsid w:val="00424A7D"/>
    <w:rsid w:val="00424DDB"/>
    <w:rsid w:val="00424FCC"/>
    <w:rsid w:val="00425059"/>
    <w:rsid w:val="00426F5C"/>
    <w:rsid w:val="00427EE0"/>
    <w:rsid w:val="0043097D"/>
    <w:rsid w:val="00430C26"/>
    <w:rsid w:val="00432A91"/>
    <w:rsid w:val="004335BD"/>
    <w:rsid w:val="00434BAA"/>
    <w:rsid w:val="00435512"/>
    <w:rsid w:val="004361A7"/>
    <w:rsid w:val="0043637E"/>
    <w:rsid w:val="00436720"/>
    <w:rsid w:val="0043703E"/>
    <w:rsid w:val="00437847"/>
    <w:rsid w:val="004418A1"/>
    <w:rsid w:val="00443555"/>
    <w:rsid w:val="004435E6"/>
    <w:rsid w:val="00443681"/>
    <w:rsid w:val="004436DC"/>
    <w:rsid w:val="00444AE6"/>
    <w:rsid w:val="00445837"/>
    <w:rsid w:val="0044675E"/>
    <w:rsid w:val="00446CE9"/>
    <w:rsid w:val="004474EE"/>
    <w:rsid w:val="00450377"/>
    <w:rsid w:val="00450AA5"/>
    <w:rsid w:val="00450AB3"/>
    <w:rsid w:val="00451774"/>
    <w:rsid w:val="00451F2B"/>
    <w:rsid w:val="00452142"/>
    <w:rsid w:val="004527F5"/>
    <w:rsid w:val="00452B08"/>
    <w:rsid w:val="004533DD"/>
    <w:rsid w:val="00453C26"/>
    <w:rsid w:val="0045450A"/>
    <w:rsid w:val="0045594E"/>
    <w:rsid w:val="0045595E"/>
    <w:rsid w:val="004602DB"/>
    <w:rsid w:val="004610B5"/>
    <w:rsid w:val="0046180F"/>
    <w:rsid w:val="00464A3D"/>
    <w:rsid w:val="00466B88"/>
    <w:rsid w:val="00467853"/>
    <w:rsid w:val="00467AE9"/>
    <w:rsid w:val="004710DC"/>
    <w:rsid w:val="004713FB"/>
    <w:rsid w:val="00473562"/>
    <w:rsid w:val="00473897"/>
    <w:rsid w:val="004739FB"/>
    <w:rsid w:val="00473C1A"/>
    <w:rsid w:val="00474271"/>
    <w:rsid w:val="00474678"/>
    <w:rsid w:val="0047617A"/>
    <w:rsid w:val="00477AAA"/>
    <w:rsid w:val="00477C68"/>
    <w:rsid w:val="00480421"/>
    <w:rsid w:val="004808CC"/>
    <w:rsid w:val="0048102A"/>
    <w:rsid w:val="00481701"/>
    <w:rsid w:val="004833B0"/>
    <w:rsid w:val="00483E04"/>
    <w:rsid w:val="0048569C"/>
    <w:rsid w:val="00485B0F"/>
    <w:rsid w:val="00486CB3"/>
    <w:rsid w:val="00486CFC"/>
    <w:rsid w:val="004870CC"/>
    <w:rsid w:val="00490BA7"/>
    <w:rsid w:val="0049205D"/>
    <w:rsid w:val="00493C98"/>
    <w:rsid w:val="00493DEB"/>
    <w:rsid w:val="00494189"/>
    <w:rsid w:val="004959DE"/>
    <w:rsid w:val="00496719"/>
    <w:rsid w:val="00496763"/>
    <w:rsid w:val="004969EE"/>
    <w:rsid w:val="00497330"/>
    <w:rsid w:val="00497673"/>
    <w:rsid w:val="00497F0C"/>
    <w:rsid w:val="004A07FA"/>
    <w:rsid w:val="004A338B"/>
    <w:rsid w:val="004A43DA"/>
    <w:rsid w:val="004A461F"/>
    <w:rsid w:val="004A4AB5"/>
    <w:rsid w:val="004A53F0"/>
    <w:rsid w:val="004A6DF0"/>
    <w:rsid w:val="004B1D4E"/>
    <w:rsid w:val="004B1F72"/>
    <w:rsid w:val="004B20C7"/>
    <w:rsid w:val="004B2654"/>
    <w:rsid w:val="004B32DC"/>
    <w:rsid w:val="004B3949"/>
    <w:rsid w:val="004B3E8C"/>
    <w:rsid w:val="004B5367"/>
    <w:rsid w:val="004B57BC"/>
    <w:rsid w:val="004B6600"/>
    <w:rsid w:val="004B71EE"/>
    <w:rsid w:val="004B7424"/>
    <w:rsid w:val="004B74AD"/>
    <w:rsid w:val="004B78F0"/>
    <w:rsid w:val="004C07D1"/>
    <w:rsid w:val="004C0A5C"/>
    <w:rsid w:val="004C1619"/>
    <w:rsid w:val="004C1FF5"/>
    <w:rsid w:val="004C318D"/>
    <w:rsid w:val="004C4C01"/>
    <w:rsid w:val="004C5827"/>
    <w:rsid w:val="004C5EA5"/>
    <w:rsid w:val="004C70EC"/>
    <w:rsid w:val="004C7495"/>
    <w:rsid w:val="004D0601"/>
    <w:rsid w:val="004D0A0E"/>
    <w:rsid w:val="004D0BCB"/>
    <w:rsid w:val="004D234A"/>
    <w:rsid w:val="004D277D"/>
    <w:rsid w:val="004D284B"/>
    <w:rsid w:val="004D2C68"/>
    <w:rsid w:val="004D3055"/>
    <w:rsid w:val="004D320E"/>
    <w:rsid w:val="004D5006"/>
    <w:rsid w:val="004D7D42"/>
    <w:rsid w:val="004D7FE4"/>
    <w:rsid w:val="004E0492"/>
    <w:rsid w:val="004E0727"/>
    <w:rsid w:val="004E076E"/>
    <w:rsid w:val="004E0C02"/>
    <w:rsid w:val="004E30DC"/>
    <w:rsid w:val="004E34A5"/>
    <w:rsid w:val="004E436B"/>
    <w:rsid w:val="004E5EDA"/>
    <w:rsid w:val="004E6F2B"/>
    <w:rsid w:val="004E71AE"/>
    <w:rsid w:val="004F0137"/>
    <w:rsid w:val="004F0551"/>
    <w:rsid w:val="004F0640"/>
    <w:rsid w:val="004F0AF4"/>
    <w:rsid w:val="004F22F1"/>
    <w:rsid w:val="004F23EF"/>
    <w:rsid w:val="004F2558"/>
    <w:rsid w:val="004F3371"/>
    <w:rsid w:val="004F3A56"/>
    <w:rsid w:val="004F488A"/>
    <w:rsid w:val="004F497F"/>
    <w:rsid w:val="004F5AEA"/>
    <w:rsid w:val="004F7A4B"/>
    <w:rsid w:val="00500BE3"/>
    <w:rsid w:val="00501F80"/>
    <w:rsid w:val="00501FD8"/>
    <w:rsid w:val="005034BD"/>
    <w:rsid w:val="005035E2"/>
    <w:rsid w:val="0050387B"/>
    <w:rsid w:val="005046DF"/>
    <w:rsid w:val="005048A3"/>
    <w:rsid w:val="005051CD"/>
    <w:rsid w:val="00505611"/>
    <w:rsid w:val="00505799"/>
    <w:rsid w:val="005058EB"/>
    <w:rsid w:val="00506216"/>
    <w:rsid w:val="00507AA9"/>
    <w:rsid w:val="005106CA"/>
    <w:rsid w:val="0051127D"/>
    <w:rsid w:val="00513FAC"/>
    <w:rsid w:val="00514084"/>
    <w:rsid w:val="00514E24"/>
    <w:rsid w:val="0051605A"/>
    <w:rsid w:val="00516216"/>
    <w:rsid w:val="0051635D"/>
    <w:rsid w:val="00517A92"/>
    <w:rsid w:val="0052182A"/>
    <w:rsid w:val="00521BCF"/>
    <w:rsid w:val="00522096"/>
    <w:rsid w:val="005220C6"/>
    <w:rsid w:val="005228B8"/>
    <w:rsid w:val="00522F09"/>
    <w:rsid w:val="00523A28"/>
    <w:rsid w:val="0052440F"/>
    <w:rsid w:val="005253BF"/>
    <w:rsid w:val="00527005"/>
    <w:rsid w:val="00527EF2"/>
    <w:rsid w:val="00530B60"/>
    <w:rsid w:val="0053334A"/>
    <w:rsid w:val="005337E8"/>
    <w:rsid w:val="00533C8E"/>
    <w:rsid w:val="00534290"/>
    <w:rsid w:val="00534AA4"/>
    <w:rsid w:val="00535700"/>
    <w:rsid w:val="00536E12"/>
    <w:rsid w:val="00540390"/>
    <w:rsid w:val="00541600"/>
    <w:rsid w:val="00541E47"/>
    <w:rsid w:val="00543B47"/>
    <w:rsid w:val="005441CC"/>
    <w:rsid w:val="00544DBC"/>
    <w:rsid w:val="00545F4B"/>
    <w:rsid w:val="005463C4"/>
    <w:rsid w:val="005479AB"/>
    <w:rsid w:val="0055036C"/>
    <w:rsid w:val="005506CE"/>
    <w:rsid w:val="0055236E"/>
    <w:rsid w:val="005526FA"/>
    <w:rsid w:val="00552DB7"/>
    <w:rsid w:val="00553ABF"/>
    <w:rsid w:val="00554020"/>
    <w:rsid w:val="005553E5"/>
    <w:rsid w:val="00555ABA"/>
    <w:rsid w:val="005565D4"/>
    <w:rsid w:val="00556994"/>
    <w:rsid w:val="005569D1"/>
    <w:rsid w:val="00557199"/>
    <w:rsid w:val="005607CA"/>
    <w:rsid w:val="00561290"/>
    <w:rsid w:val="00561432"/>
    <w:rsid w:val="0056170E"/>
    <w:rsid w:val="00561DDF"/>
    <w:rsid w:val="00562C21"/>
    <w:rsid w:val="00563FC7"/>
    <w:rsid w:val="0056490B"/>
    <w:rsid w:val="00564A4C"/>
    <w:rsid w:val="005658B8"/>
    <w:rsid w:val="00566638"/>
    <w:rsid w:val="005668F2"/>
    <w:rsid w:val="00566BC8"/>
    <w:rsid w:val="00566D67"/>
    <w:rsid w:val="00567685"/>
    <w:rsid w:val="00567A72"/>
    <w:rsid w:val="00571096"/>
    <w:rsid w:val="005711D3"/>
    <w:rsid w:val="0057202E"/>
    <w:rsid w:val="00572DD8"/>
    <w:rsid w:val="005741D5"/>
    <w:rsid w:val="005745FE"/>
    <w:rsid w:val="00574FB6"/>
    <w:rsid w:val="00575229"/>
    <w:rsid w:val="005753B3"/>
    <w:rsid w:val="005757EE"/>
    <w:rsid w:val="005764B6"/>
    <w:rsid w:val="0057651A"/>
    <w:rsid w:val="005767E1"/>
    <w:rsid w:val="005771C5"/>
    <w:rsid w:val="00577A69"/>
    <w:rsid w:val="00580E46"/>
    <w:rsid w:val="005811F0"/>
    <w:rsid w:val="00583222"/>
    <w:rsid w:val="00583DE4"/>
    <w:rsid w:val="005851CE"/>
    <w:rsid w:val="00585260"/>
    <w:rsid w:val="005852D7"/>
    <w:rsid w:val="00587057"/>
    <w:rsid w:val="005879FD"/>
    <w:rsid w:val="00587C4F"/>
    <w:rsid w:val="00590493"/>
    <w:rsid w:val="00590A20"/>
    <w:rsid w:val="00591F83"/>
    <w:rsid w:val="00592632"/>
    <w:rsid w:val="00592724"/>
    <w:rsid w:val="00593548"/>
    <w:rsid w:val="00593A3A"/>
    <w:rsid w:val="005942E0"/>
    <w:rsid w:val="005946B9"/>
    <w:rsid w:val="0059487D"/>
    <w:rsid w:val="00594ED4"/>
    <w:rsid w:val="00595AA9"/>
    <w:rsid w:val="00596E08"/>
    <w:rsid w:val="005A1824"/>
    <w:rsid w:val="005A1A56"/>
    <w:rsid w:val="005A241E"/>
    <w:rsid w:val="005A36FB"/>
    <w:rsid w:val="005A3718"/>
    <w:rsid w:val="005A4489"/>
    <w:rsid w:val="005A4B61"/>
    <w:rsid w:val="005A53E0"/>
    <w:rsid w:val="005A683D"/>
    <w:rsid w:val="005A6D6F"/>
    <w:rsid w:val="005A770E"/>
    <w:rsid w:val="005B1133"/>
    <w:rsid w:val="005B200B"/>
    <w:rsid w:val="005B2215"/>
    <w:rsid w:val="005B27BD"/>
    <w:rsid w:val="005B2A08"/>
    <w:rsid w:val="005B2C13"/>
    <w:rsid w:val="005B2CA5"/>
    <w:rsid w:val="005B4ACD"/>
    <w:rsid w:val="005B53DB"/>
    <w:rsid w:val="005B704C"/>
    <w:rsid w:val="005B7AC4"/>
    <w:rsid w:val="005B7BD5"/>
    <w:rsid w:val="005C086A"/>
    <w:rsid w:val="005C0E6B"/>
    <w:rsid w:val="005C1268"/>
    <w:rsid w:val="005C1546"/>
    <w:rsid w:val="005C212C"/>
    <w:rsid w:val="005C2176"/>
    <w:rsid w:val="005C221A"/>
    <w:rsid w:val="005C3952"/>
    <w:rsid w:val="005C47CC"/>
    <w:rsid w:val="005C5728"/>
    <w:rsid w:val="005C57DB"/>
    <w:rsid w:val="005C69E5"/>
    <w:rsid w:val="005C7EE5"/>
    <w:rsid w:val="005D0442"/>
    <w:rsid w:val="005D0750"/>
    <w:rsid w:val="005D11B0"/>
    <w:rsid w:val="005D27E5"/>
    <w:rsid w:val="005D32C5"/>
    <w:rsid w:val="005D5098"/>
    <w:rsid w:val="005D559F"/>
    <w:rsid w:val="005D57C5"/>
    <w:rsid w:val="005E0309"/>
    <w:rsid w:val="005E29AC"/>
    <w:rsid w:val="005E2EF0"/>
    <w:rsid w:val="005E384E"/>
    <w:rsid w:val="005E3EB3"/>
    <w:rsid w:val="005E40EB"/>
    <w:rsid w:val="005E4507"/>
    <w:rsid w:val="005E5EFC"/>
    <w:rsid w:val="005E6A6B"/>
    <w:rsid w:val="005E6BA2"/>
    <w:rsid w:val="005E6BF9"/>
    <w:rsid w:val="005F0BF9"/>
    <w:rsid w:val="005F14E3"/>
    <w:rsid w:val="005F2B4D"/>
    <w:rsid w:val="005F3AEF"/>
    <w:rsid w:val="005F52B5"/>
    <w:rsid w:val="005F6973"/>
    <w:rsid w:val="005F7A55"/>
    <w:rsid w:val="00600005"/>
    <w:rsid w:val="006010CC"/>
    <w:rsid w:val="006020EF"/>
    <w:rsid w:val="0060309D"/>
    <w:rsid w:val="00603EC7"/>
    <w:rsid w:val="00604369"/>
    <w:rsid w:val="006047E2"/>
    <w:rsid w:val="00605E25"/>
    <w:rsid w:val="006062FA"/>
    <w:rsid w:val="0061022B"/>
    <w:rsid w:val="0061057A"/>
    <w:rsid w:val="00610A63"/>
    <w:rsid w:val="006114A6"/>
    <w:rsid w:val="00611B4B"/>
    <w:rsid w:val="0061505C"/>
    <w:rsid w:val="0061599A"/>
    <w:rsid w:val="00616D69"/>
    <w:rsid w:val="00621A18"/>
    <w:rsid w:val="00621DC9"/>
    <w:rsid w:val="00622179"/>
    <w:rsid w:val="00624624"/>
    <w:rsid w:val="00624B10"/>
    <w:rsid w:val="0062521E"/>
    <w:rsid w:val="00625636"/>
    <w:rsid w:val="00625C5D"/>
    <w:rsid w:val="006264D8"/>
    <w:rsid w:val="00627095"/>
    <w:rsid w:val="0063061C"/>
    <w:rsid w:val="00631F40"/>
    <w:rsid w:val="00632488"/>
    <w:rsid w:val="00632545"/>
    <w:rsid w:val="006325D5"/>
    <w:rsid w:val="00637248"/>
    <w:rsid w:val="00637E9C"/>
    <w:rsid w:val="006405DF"/>
    <w:rsid w:val="0064084D"/>
    <w:rsid w:val="006410CC"/>
    <w:rsid w:val="00641246"/>
    <w:rsid w:val="006415B5"/>
    <w:rsid w:val="006415F4"/>
    <w:rsid w:val="00642453"/>
    <w:rsid w:val="00642D5F"/>
    <w:rsid w:val="00643F1F"/>
    <w:rsid w:val="006465AA"/>
    <w:rsid w:val="00647811"/>
    <w:rsid w:val="00651070"/>
    <w:rsid w:val="00651BA4"/>
    <w:rsid w:val="00652665"/>
    <w:rsid w:val="006526BE"/>
    <w:rsid w:val="0065295B"/>
    <w:rsid w:val="00653D0D"/>
    <w:rsid w:val="0065406D"/>
    <w:rsid w:val="0065429A"/>
    <w:rsid w:val="00654735"/>
    <w:rsid w:val="00660CFD"/>
    <w:rsid w:val="006613A1"/>
    <w:rsid w:val="006631E3"/>
    <w:rsid w:val="00663C49"/>
    <w:rsid w:val="00664357"/>
    <w:rsid w:val="006664D4"/>
    <w:rsid w:val="00666664"/>
    <w:rsid w:val="00666D61"/>
    <w:rsid w:val="0066772B"/>
    <w:rsid w:val="006701E2"/>
    <w:rsid w:val="00670338"/>
    <w:rsid w:val="0067076C"/>
    <w:rsid w:val="00670C2C"/>
    <w:rsid w:val="00670DE0"/>
    <w:rsid w:val="00671990"/>
    <w:rsid w:val="006726E0"/>
    <w:rsid w:val="00673126"/>
    <w:rsid w:val="00673256"/>
    <w:rsid w:val="0067383E"/>
    <w:rsid w:val="0067470F"/>
    <w:rsid w:val="006749FA"/>
    <w:rsid w:val="0067505D"/>
    <w:rsid w:val="0067533A"/>
    <w:rsid w:val="00675436"/>
    <w:rsid w:val="00675CA7"/>
    <w:rsid w:val="00676A46"/>
    <w:rsid w:val="00680AD3"/>
    <w:rsid w:val="00680C05"/>
    <w:rsid w:val="00680C1A"/>
    <w:rsid w:val="00681C00"/>
    <w:rsid w:val="00681DFD"/>
    <w:rsid w:val="00681E80"/>
    <w:rsid w:val="00682333"/>
    <w:rsid w:val="00682942"/>
    <w:rsid w:val="0068310C"/>
    <w:rsid w:val="006834E4"/>
    <w:rsid w:val="00683A15"/>
    <w:rsid w:val="00684038"/>
    <w:rsid w:val="006842BD"/>
    <w:rsid w:val="0068465B"/>
    <w:rsid w:val="00684851"/>
    <w:rsid w:val="006851E1"/>
    <w:rsid w:val="0069167B"/>
    <w:rsid w:val="00691E5D"/>
    <w:rsid w:val="00692057"/>
    <w:rsid w:val="0069237B"/>
    <w:rsid w:val="00692C38"/>
    <w:rsid w:val="00692FB3"/>
    <w:rsid w:val="0069393D"/>
    <w:rsid w:val="00693C39"/>
    <w:rsid w:val="006958D7"/>
    <w:rsid w:val="00695F2A"/>
    <w:rsid w:val="006961C5"/>
    <w:rsid w:val="00696B6E"/>
    <w:rsid w:val="00697560"/>
    <w:rsid w:val="006A0021"/>
    <w:rsid w:val="006A11C9"/>
    <w:rsid w:val="006A11FD"/>
    <w:rsid w:val="006A2517"/>
    <w:rsid w:val="006A3A87"/>
    <w:rsid w:val="006A644C"/>
    <w:rsid w:val="006A679F"/>
    <w:rsid w:val="006A69E4"/>
    <w:rsid w:val="006A7045"/>
    <w:rsid w:val="006A7D75"/>
    <w:rsid w:val="006B1034"/>
    <w:rsid w:val="006B19A1"/>
    <w:rsid w:val="006B2188"/>
    <w:rsid w:val="006B2A65"/>
    <w:rsid w:val="006B4521"/>
    <w:rsid w:val="006B53A9"/>
    <w:rsid w:val="006B573D"/>
    <w:rsid w:val="006B63F6"/>
    <w:rsid w:val="006B675C"/>
    <w:rsid w:val="006B69AD"/>
    <w:rsid w:val="006B74A5"/>
    <w:rsid w:val="006B7567"/>
    <w:rsid w:val="006C0325"/>
    <w:rsid w:val="006C11D3"/>
    <w:rsid w:val="006C1CD5"/>
    <w:rsid w:val="006C2B51"/>
    <w:rsid w:val="006C347F"/>
    <w:rsid w:val="006C34E5"/>
    <w:rsid w:val="006C365B"/>
    <w:rsid w:val="006C3E2C"/>
    <w:rsid w:val="006C42A1"/>
    <w:rsid w:val="006C4D65"/>
    <w:rsid w:val="006C7996"/>
    <w:rsid w:val="006C7B41"/>
    <w:rsid w:val="006D19FD"/>
    <w:rsid w:val="006D4919"/>
    <w:rsid w:val="006D56E1"/>
    <w:rsid w:val="006D6073"/>
    <w:rsid w:val="006D6266"/>
    <w:rsid w:val="006E055E"/>
    <w:rsid w:val="006E0E6C"/>
    <w:rsid w:val="006E1030"/>
    <w:rsid w:val="006E2268"/>
    <w:rsid w:val="006E3F9B"/>
    <w:rsid w:val="006E5041"/>
    <w:rsid w:val="006E510D"/>
    <w:rsid w:val="006E5B73"/>
    <w:rsid w:val="006E6687"/>
    <w:rsid w:val="006E7597"/>
    <w:rsid w:val="006E75EC"/>
    <w:rsid w:val="006E7AB2"/>
    <w:rsid w:val="006E7B43"/>
    <w:rsid w:val="006E7F7D"/>
    <w:rsid w:val="006F0794"/>
    <w:rsid w:val="006F0C74"/>
    <w:rsid w:val="006F1941"/>
    <w:rsid w:val="006F2FDC"/>
    <w:rsid w:val="006F3056"/>
    <w:rsid w:val="006F3331"/>
    <w:rsid w:val="006F3637"/>
    <w:rsid w:val="006F37D9"/>
    <w:rsid w:val="006F4409"/>
    <w:rsid w:val="006F46EF"/>
    <w:rsid w:val="006F4CCF"/>
    <w:rsid w:val="006F4F97"/>
    <w:rsid w:val="006F6119"/>
    <w:rsid w:val="006F6E18"/>
    <w:rsid w:val="00700EC2"/>
    <w:rsid w:val="0070111E"/>
    <w:rsid w:val="00701F36"/>
    <w:rsid w:val="00702352"/>
    <w:rsid w:val="00702959"/>
    <w:rsid w:val="00702D7C"/>
    <w:rsid w:val="00703BB1"/>
    <w:rsid w:val="0070404B"/>
    <w:rsid w:val="007042D7"/>
    <w:rsid w:val="00704D31"/>
    <w:rsid w:val="0070569C"/>
    <w:rsid w:val="00706660"/>
    <w:rsid w:val="00706725"/>
    <w:rsid w:val="00707599"/>
    <w:rsid w:val="00707BD7"/>
    <w:rsid w:val="00713F7A"/>
    <w:rsid w:val="00714246"/>
    <w:rsid w:val="00714FD2"/>
    <w:rsid w:val="00715441"/>
    <w:rsid w:val="007155D1"/>
    <w:rsid w:val="00716462"/>
    <w:rsid w:val="00717C5D"/>
    <w:rsid w:val="0072207E"/>
    <w:rsid w:val="00722224"/>
    <w:rsid w:val="00723E15"/>
    <w:rsid w:val="00724481"/>
    <w:rsid w:val="007246A2"/>
    <w:rsid w:val="00725C76"/>
    <w:rsid w:val="00726530"/>
    <w:rsid w:val="00730389"/>
    <w:rsid w:val="007304EE"/>
    <w:rsid w:val="00732375"/>
    <w:rsid w:val="00732965"/>
    <w:rsid w:val="00733E53"/>
    <w:rsid w:val="007340C2"/>
    <w:rsid w:val="0073539A"/>
    <w:rsid w:val="00735F6C"/>
    <w:rsid w:val="00736A48"/>
    <w:rsid w:val="00736CFD"/>
    <w:rsid w:val="00736D72"/>
    <w:rsid w:val="00737164"/>
    <w:rsid w:val="00737876"/>
    <w:rsid w:val="00737AFE"/>
    <w:rsid w:val="00737EA5"/>
    <w:rsid w:val="00737F1C"/>
    <w:rsid w:val="00740A2A"/>
    <w:rsid w:val="00742A9A"/>
    <w:rsid w:val="00744128"/>
    <w:rsid w:val="00745576"/>
    <w:rsid w:val="00745E39"/>
    <w:rsid w:val="00745E8A"/>
    <w:rsid w:val="00746AD1"/>
    <w:rsid w:val="00746BCF"/>
    <w:rsid w:val="00747242"/>
    <w:rsid w:val="007478E0"/>
    <w:rsid w:val="00747E22"/>
    <w:rsid w:val="00747F2D"/>
    <w:rsid w:val="00750C9E"/>
    <w:rsid w:val="00750E9E"/>
    <w:rsid w:val="007512FA"/>
    <w:rsid w:val="007513D9"/>
    <w:rsid w:val="007515B3"/>
    <w:rsid w:val="007521E9"/>
    <w:rsid w:val="0075240D"/>
    <w:rsid w:val="007534B2"/>
    <w:rsid w:val="00753A50"/>
    <w:rsid w:val="00754B6E"/>
    <w:rsid w:val="007554B0"/>
    <w:rsid w:val="00756E26"/>
    <w:rsid w:val="00756FE4"/>
    <w:rsid w:val="007578B1"/>
    <w:rsid w:val="00757CBA"/>
    <w:rsid w:val="00757E52"/>
    <w:rsid w:val="007612FB"/>
    <w:rsid w:val="007619FB"/>
    <w:rsid w:val="0076418A"/>
    <w:rsid w:val="007642CB"/>
    <w:rsid w:val="00765226"/>
    <w:rsid w:val="00765520"/>
    <w:rsid w:val="0076573C"/>
    <w:rsid w:val="00766879"/>
    <w:rsid w:val="00767CC0"/>
    <w:rsid w:val="00770C0F"/>
    <w:rsid w:val="00770F29"/>
    <w:rsid w:val="007713DD"/>
    <w:rsid w:val="0077380B"/>
    <w:rsid w:val="00773A6C"/>
    <w:rsid w:val="007742FE"/>
    <w:rsid w:val="00774DFB"/>
    <w:rsid w:val="0077660A"/>
    <w:rsid w:val="0077679E"/>
    <w:rsid w:val="00780BC3"/>
    <w:rsid w:val="00780EEC"/>
    <w:rsid w:val="007820C9"/>
    <w:rsid w:val="007821C1"/>
    <w:rsid w:val="00782244"/>
    <w:rsid w:val="00783E9A"/>
    <w:rsid w:val="007848A7"/>
    <w:rsid w:val="00784E94"/>
    <w:rsid w:val="0078549F"/>
    <w:rsid w:val="0078636B"/>
    <w:rsid w:val="00787652"/>
    <w:rsid w:val="00787882"/>
    <w:rsid w:val="00790BEF"/>
    <w:rsid w:val="00791919"/>
    <w:rsid w:val="00791BFC"/>
    <w:rsid w:val="00791F31"/>
    <w:rsid w:val="00792077"/>
    <w:rsid w:val="0079312B"/>
    <w:rsid w:val="0079338A"/>
    <w:rsid w:val="0079416A"/>
    <w:rsid w:val="00794C2B"/>
    <w:rsid w:val="0079523B"/>
    <w:rsid w:val="00795852"/>
    <w:rsid w:val="00795EE3"/>
    <w:rsid w:val="00797132"/>
    <w:rsid w:val="0079725C"/>
    <w:rsid w:val="007972F3"/>
    <w:rsid w:val="00797605"/>
    <w:rsid w:val="00797950"/>
    <w:rsid w:val="007A0004"/>
    <w:rsid w:val="007A0294"/>
    <w:rsid w:val="007A10B5"/>
    <w:rsid w:val="007A1269"/>
    <w:rsid w:val="007A251E"/>
    <w:rsid w:val="007A268A"/>
    <w:rsid w:val="007A2F71"/>
    <w:rsid w:val="007A329B"/>
    <w:rsid w:val="007A37D3"/>
    <w:rsid w:val="007A4F8E"/>
    <w:rsid w:val="007A528B"/>
    <w:rsid w:val="007A6320"/>
    <w:rsid w:val="007A6388"/>
    <w:rsid w:val="007A6B15"/>
    <w:rsid w:val="007A6F89"/>
    <w:rsid w:val="007A77BB"/>
    <w:rsid w:val="007A7B91"/>
    <w:rsid w:val="007B0534"/>
    <w:rsid w:val="007B0906"/>
    <w:rsid w:val="007B15F4"/>
    <w:rsid w:val="007B1679"/>
    <w:rsid w:val="007B2512"/>
    <w:rsid w:val="007B516D"/>
    <w:rsid w:val="007B5544"/>
    <w:rsid w:val="007B6414"/>
    <w:rsid w:val="007B7D81"/>
    <w:rsid w:val="007C021A"/>
    <w:rsid w:val="007C07F2"/>
    <w:rsid w:val="007C112B"/>
    <w:rsid w:val="007C2500"/>
    <w:rsid w:val="007C3708"/>
    <w:rsid w:val="007C4C7F"/>
    <w:rsid w:val="007C4D8A"/>
    <w:rsid w:val="007C51CD"/>
    <w:rsid w:val="007C5CC6"/>
    <w:rsid w:val="007C7208"/>
    <w:rsid w:val="007D025A"/>
    <w:rsid w:val="007D0F6C"/>
    <w:rsid w:val="007D258E"/>
    <w:rsid w:val="007D2B50"/>
    <w:rsid w:val="007D4C5C"/>
    <w:rsid w:val="007D6535"/>
    <w:rsid w:val="007D706B"/>
    <w:rsid w:val="007D77A6"/>
    <w:rsid w:val="007E09AC"/>
    <w:rsid w:val="007E24ED"/>
    <w:rsid w:val="007E3511"/>
    <w:rsid w:val="007E374A"/>
    <w:rsid w:val="007E39F2"/>
    <w:rsid w:val="007E436B"/>
    <w:rsid w:val="007E6EF2"/>
    <w:rsid w:val="007F0038"/>
    <w:rsid w:val="007F055A"/>
    <w:rsid w:val="007F090E"/>
    <w:rsid w:val="007F1E4B"/>
    <w:rsid w:val="007F1E6E"/>
    <w:rsid w:val="007F2112"/>
    <w:rsid w:val="007F225F"/>
    <w:rsid w:val="007F27C4"/>
    <w:rsid w:val="007F2E15"/>
    <w:rsid w:val="007F3152"/>
    <w:rsid w:val="007F31CC"/>
    <w:rsid w:val="007F38A4"/>
    <w:rsid w:val="007F3E20"/>
    <w:rsid w:val="007F3FBC"/>
    <w:rsid w:val="007F6CA9"/>
    <w:rsid w:val="007F6E70"/>
    <w:rsid w:val="007F6EB7"/>
    <w:rsid w:val="007F6EFC"/>
    <w:rsid w:val="00801442"/>
    <w:rsid w:val="00801E7C"/>
    <w:rsid w:val="008040A5"/>
    <w:rsid w:val="00804C27"/>
    <w:rsid w:val="00804F2C"/>
    <w:rsid w:val="00805FAF"/>
    <w:rsid w:val="008060A0"/>
    <w:rsid w:val="00806B90"/>
    <w:rsid w:val="00806C71"/>
    <w:rsid w:val="00810594"/>
    <w:rsid w:val="0081359D"/>
    <w:rsid w:val="00813825"/>
    <w:rsid w:val="008141E5"/>
    <w:rsid w:val="008143E1"/>
    <w:rsid w:val="00814AC3"/>
    <w:rsid w:val="00814BCA"/>
    <w:rsid w:val="008161CC"/>
    <w:rsid w:val="008162AF"/>
    <w:rsid w:val="0081632F"/>
    <w:rsid w:val="00816643"/>
    <w:rsid w:val="00817104"/>
    <w:rsid w:val="00817F49"/>
    <w:rsid w:val="0082191D"/>
    <w:rsid w:val="00821B58"/>
    <w:rsid w:val="0082256B"/>
    <w:rsid w:val="0082344F"/>
    <w:rsid w:val="00823F60"/>
    <w:rsid w:val="0082403F"/>
    <w:rsid w:val="00824204"/>
    <w:rsid w:val="00824427"/>
    <w:rsid w:val="00825B5A"/>
    <w:rsid w:val="0082679B"/>
    <w:rsid w:val="00827A4B"/>
    <w:rsid w:val="00830436"/>
    <w:rsid w:val="008307B9"/>
    <w:rsid w:val="008313D5"/>
    <w:rsid w:val="0083163F"/>
    <w:rsid w:val="00831E32"/>
    <w:rsid w:val="00832277"/>
    <w:rsid w:val="00833247"/>
    <w:rsid w:val="00833E8A"/>
    <w:rsid w:val="00833EA4"/>
    <w:rsid w:val="00833FBE"/>
    <w:rsid w:val="00835489"/>
    <w:rsid w:val="00836765"/>
    <w:rsid w:val="00836A7E"/>
    <w:rsid w:val="008370AC"/>
    <w:rsid w:val="008378DD"/>
    <w:rsid w:val="00837CFF"/>
    <w:rsid w:val="00841C4C"/>
    <w:rsid w:val="00841D0B"/>
    <w:rsid w:val="00842B54"/>
    <w:rsid w:val="00843002"/>
    <w:rsid w:val="008433C0"/>
    <w:rsid w:val="00843B5F"/>
    <w:rsid w:val="00844A7E"/>
    <w:rsid w:val="00845ACD"/>
    <w:rsid w:val="008460EF"/>
    <w:rsid w:val="008466EA"/>
    <w:rsid w:val="00846D9A"/>
    <w:rsid w:val="0085011D"/>
    <w:rsid w:val="008503F5"/>
    <w:rsid w:val="00850743"/>
    <w:rsid w:val="008519C5"/>
    <w:rsid w:val="00851FCD"/>
    <w:rsid w:val="008529D4"/>
    <w:rsid w:val="00852AA7"/>
    <w:rsid w:val="00854A1A"/>
    <w:rsid w:val="00854EDB"/>
    <w:rsid w:val="0085555A"/>
    <w:rsid w:val="00860BD1"/>
    <w:rsid w:val="00861F86"/>
    <w:rsid w:val="008625B7"/>
    <w:rsid w:val="00862888"/>
    <w:rsid w:val="00863B8C"/>
    <w:rsid w:val="00865B30"/>
    <w:rsid w:val="00866D8B"/>
    <w:rsid w:val="00867317"/>
    <w:rsid w:val="00867553"/>
    <w:rsid w:val="00867675"/>
    <w:rsid w:val="00867A97"/>
    <w:rsid w:val="00867CA8"/>
    <w:rsid w:val="00870785"/>
    <w:rsid w:val="00871524"/>
    <w:rsid w:val="00872401"/>
    <w:rsid w:val="00872592"/>
    <w:rsid w:val="008737B1"/>
    <w:rsid w:val="00875109"/>
    <w:rsid w:val="00875323"/>
    <w:rsid w:val="008755A7"/>
    <w:rsid w:val="008756F8"/>
    <w:rsid w:val="008769E9"/>
    <w:rsid w:val="00876B4B"/>
    <w:rsid w:val="008772DD"/>
    <w:rsid w:val="00877F2C"/>
    <w:rsid w:val="008800ED"/>
    <w:rsid w:val="00880ABC"/>
    <w:rsid w:val="00880C66"/>
    <w:rsid w:val="00882021"/>
    <w:rsid w:val="00883242"/>
    <w:rsid w:val="0088329E"/>
    <w:rsid w:val="0088425A"/>
    <w:rsid w:val="008848AA"/>
    <w:rsid w:val="00885439"/>
    <w:rsid w:val="00885573"/>
    <w:rsid w:val="00885D60"/>
    <w:rsid w:val="00886C97"/>
    <w:rsid w:val="00886D16"/>
    <w:rsid w:val="00887A9E"/>
    <w:rsid w:val="00887B6D"/>
    <w:rsid w:val="00891602"/>
    <w:rsid w:val="008916ED"/>
    <w:rsid w:val="00891F1B"/>
    <w:rsid w:val="00893923"/>
    <w:rsid w:val="008944AD"/>
    <w:rsid w:val="008964B9"/>
    <w:rsid w:val="008A0AAC"/>
    <w:rsid w:val="008A190E"/>
    <w:rsid w:val="008A19A2"/>
    <w:rsid w:val="008A1BFD"/>
    <w:rsid w:val="008A1C18"/>
    <w:rsid w:val="008A2568"/>
    <w:rsid w:val="008A2F69"/>
    <w:rsid w:val="008A4219"/>
    <w:rsid w:val="008A4B98"/>
    <w:rsid w:val="008A62DD"/>
    <w:rsid w:val="008A6459"/>
    <w:rsid w:val="008A6D3E"/>
    <w:rsid w:val="008A72C9"/>
    <w:rsid w:val="008A78A8"/>
    <w:rsid w:val="008B2AB4"/>
    <w:rsid w:val="008B2E0E"/>
    <w:rsid w:val="008B35B7"/>
    <w:rsid w:val="008B3A4F"/>
    <w:rsid w:val="008B5293"/>
    <w:rsid w:val="008B5414"/>
    <w:rsid w:val="008B6096"/>
    <w:rsid w:val="008B62C8"/>
    <w:rsid w:val="008B645C"/>
    <w:rsid w:val="008B6E1C"/>
    <w:rsid w:val="008B6F49"/>
    <w:rsid w:val="008B76E8"/>
    <w:rsid w:val="008B7714"/>
    <w:rsid w:val="008C046A"/>
    <w:rsid w:val="008C06B9"/>
    <w:rsid w:val="008C0821"/>
    <w:rsid w:val="008C21DA"/>
    <w:rsid w:val="008C3AFC"/>
    <w:rsid w:val="008C47BB"/>
    <w:rsid w:val="008C4959"/>
    <w:rsid w:val="008C4C42"/>
    <w:rsid w:val="008C4F08"/>
    <w:rsid w:val="008C5A14"/>
    <w:rsid w:val="008C7013"/>
    <w:rsid w:val="008C7401"/>
    <w:rsid w:val="008D00DC"/>
    <w:rsid w:val="008D0BFA"/>
    <w:rsid w:val="008D1455"/>
    <w:rsid w:val="008D21C1"/>
    <w:rsid w:val="008D22AA"/>
    <w:rsid w:val="008D2C83"/>
    <w:rsid w:val="008D3764"/>
    <w:rsid w:val="008D3981"/>
    <w:rsid w:val="008D4443"/>
    <w:rsid w:val="008D6C5C"/>
    <w:rsid w:val="008D7AD5"/>
    <w:rsid w:val="008D7BDC"/>
    <w:rsid w:val="008E0487"/>
    <w:rsid w:val="008E1748"/>
    <w:rsid w:val="008E20D5"/>
    <w:rsid w:val="008E2861"/>
    <w:rsid w:val="008E307B"/>
    <w:rsid w:val="008E3A61"/>
    <w:rsid w:val="008E3E97"/>
    <w:rsid w:val="008E5C96"/>
    <w:rsid w:val="008E5E96"/>
    <w:rsid w:val="008E6168"/>
    <w:rsid w:val="008E65FA"/>
    <w:rsid w:val="008E6731"/>
    <w:rsid w:val="008E742F"/>
    <w:rsid w:val="008E7DBA"/>
    <w:rsid w:val="008F0856"/>
    <w:rsid w:val="008F0AD9"/>
    <w:rsid w:val="008F0C80"/>
    <w:rsid w:val="008F2B43"/>
    <w:rsid w:val="008F2B74"/>
    <w:rsid w:val="008F2B8B"/>
    <w:rsid w:val="008F3498"/>
    <w:rsid w:val="008F3878"/>
    <w:rsid w:val="008F55E8"/>
    <w:rsid w:val="008F5879"/>
    <w:rsid w:val="008F5D4D"/>
    <w:rsid w:val="008F5FAC"/>
    <w:rsid w:val="008F766D"/>
    <w:rsid w:val="008F77DF"/>
    <w:rsid w:val="008F7EBD"/>
    <w:rsid w:val="00900693"/>
    <w:rsid w:val="009013FF"/>
    <w:rsid w:val="00903156"/>
    <w:rsid w:val="009056A4"/>
    <w:rsid w:val="00905AFB"/>
    <w:rsid w:val="00906DCA"/>
    <w:rsid w:val="009076FE"/>
    <w:rsid w:val="00907A53"/>
    <w:rsid w:val="00907D5D"/>
    <w:rsid w:val="00910067"/>
    <w:rsid w:val="0091036B"/>
    <w:rsid w:val="00910CE2"/>
    <w:rsid w:val="00911589"/>
    <w:rsid w:val="0091225C"/>
    <w:rsid w:val="00912347"/>
    <w:rsid w:val="009138F6"/>
    <w:rsid w:val="00915ADB"/>
    <w:rsid w:val="00916FA7"/>
    <w:rsid w:val="0091763D"/>
    <w:rsid w:val="00917FD0"/>
    <w:rsid w:val="009201C2"/>
    <w:rsid w:val="00922001"/>
    <w:rsid w:val="00924256"/>
    <w:rsid w:val="00924420"/>
    <w:rsid w:val="0092544F"/>
    <w:rsid w:val="00927FFD"/>
    <w:rsid w:val="00931300"/>
    <w:rsid w:val="00932E59"/>
    <w:rsid w:val="00934D6B"/>
    <w:rsid w:val="00935388"/>
    <w:rsid w:val="00935686"/>
    <w:rsid w:val="0093683C"/>
    <w:rsid w:val="00936933"/>
    <w:rsid w:val="00937B12"/>
    <w:rsid w:val="00940B39"/>
    <w:rsid w:val="00941922"/>
    <w:rsid w:val="009420D8"/>
    <w:rsid w:val="00942860"/>
    <w:rsid w:val="0094430D"/>
    <w:rsid w:val="00944BE1"/>
    <w:rsid w:val="00945D30"/>
    <w:rsid w:val="009470F9"/>
    <w:rsid w:val="00947B08"/>
    <w:rsid w:val="00951338"/>
    <w:rsid w:val="0095157D"/>
    <w:rsid w:val="00951A9F"/>
    <w:rsid w:val="00951CDE"/>
    <w:rsid w:val="0095324B"/>
    <w:rsid w:val="009547C9"/>
    <w:rsid w:val="00955212"/>
    <w:rsid w:val="009562DB"/>
    <w:rsid w:val="00960CC3"/>
    <w:rsid w:val="009611E2"/>
    <w:rsid w:val="00961302"/>
    <w:rsid w:val="00961C27"/>
    <w:rsid w:val="00961FD5"/>
    <w:rsid w:val="009627AC"/>
    <w:rsid w:val="00962A4A"/>
    <w:rsid w:val="00962E0D"/>
    <w:rsid w:val="00963E76"/>
    <w:rsid w:val="00964581"/>
    <w:rsid w:val="00970643"/>
    <w:rsid w:val="0097070A"/>
    <w:rsid w:val="009717C1"/>
    <w:rsid w:val="00971C0B"/>
    <w:rsid w:val="00972507"/>
    <w:rsid w:val="009727BF"/>
    <w:rsid w:val="00973047"/>
    <w:rsid w:val="009743E2"/>
    <w:rsid w:val="00974625"/>
    <w:rsid w:val="009753C9"/>
    <w:rsid w:val="009755FC"/>
    <w:rsid w:val="00975A73"/>
    <w:rsid w:val="00975CFE"/>
    <w:rsid w:val="00976660"/>
    <w:rsid w:val="00976F63"/>
    <w:rsid w:val="009772B7"/>
    <w:rsid w:val="00977EC0"/>
    <w:rsid w:val="00980623"/>
    <w:rsid w:val="009822CF"/>
    <w:rsid w:val="00983FFF"/>
    <w:rsid w:val="00984F9A"/>
    <w:rsid w:val="00985046"/>
    <w:rsid w:val="009853D6"/>
    <w:rsid w:val="00985DEA"/>
    <w:rsid w:val="00986312"/>
    <w:rsid w:val="00986D62"/>
    <w:rsid w:val="009878BC"/>
    <w:rsid w:val="009903E2"/>
    <w:rsid w:val="00990E6E"/>
    <w:rsid w:val="00991195"/>
    <w:rsid w:val="00991438"/>
    <w:rsid w:val="00991B68"/>
    <w:rsid w:val="00991DE5"/>
    <w:rsid w:val="00991FC3"/>
    <w:rsid w:val="00992A7E"/>
    <w:rsid w:val="00992E68"/>
    <w:rsid w:val="009934F0"/>
    <w:rsid w:val="009935A6"/>
    <w:rsid w:val="00993CA3"/>
    <w:rsid w:val="009958E4"/>
    <w:rsid w:val="00995BAB"/>
    <w:rsid w:val="009960D5"/>
    <w:rsid w:val="0099657E"/>
    <w:rsid w:val="00996703"/>
    <w:rsid w:val="0099761E"/>
    <w:rsid w:val="00997F18"/>
    <w:rsid w:val="009A0574"/>
    <w:rsid w:val="009A1B15"/>
    <w:rsid w:val="009A2BF1"/>
    <w:rsid w:val="009A2D53"/>
    <w:rsid w:val="009A2F84"/>
    <w:rsid w:val="009A4085"/>
    <w:rsid w:val="009A4CC8"/>
    <w:rsid w:val="009A530F"/>
    <w:rsid w:val="009A643E"/>
    <w:rsid w:val="009A6CA3"/>
    <w:rsid w:val="009A718E"/>
    <w:rsid w:val="009B00FB"/>
    <w:rsid w:val="009B10CE"/>
    <w:rsid w:val="009B1685"/>
    <w:rsid w:val="009B2443"/>
    <w:rsid w:val="009B3A6C"/>
    <w:rsid w:val="009B5B37"/>
    <w:rsid w:val="009B61F7"/>
    <w:rsid w:val="009B6F65"/>
    <w:rsid w:val="009B7149"/>
    <w:rsid w:val="009B7A42"/>
    <w:rsid w:val="009C072F"/>
    <w:rsid w:val="009C300B"/>
    <w:rsid w:val="009C34E8"/>
    <w:rsid w:val="009C44D0"/>
    <w:rsid w:val="009C4983"/>
    <w:rsid w:val="009C4E4E"/>
    <w:rsid w:val="009C4EF5"/>
    <w:rsid w:val="009C5801"/>
    <w:rsid w:val="009C5B29"/>
    <w:rsid w:val="009C621C"/>
    <w:rsid w:val="009C75CE"/>
    <w:rsid w:val="009C76DC"/>
    <w:rsid w:val="009C7EDF"/>
    <w:rsid w:val="009D063C"/>
    <w:rsid w:val="009D29E9"/>
    <w:rsid w:val="009D3DB6"/>
    <w:rsid w:val="009D4ECD"/>
    <w:rsid w:val="009D4FA1"/>
    <w:rsid w:val="009D629B"/>
    <w:rsid w:val="009D6762"/>
    <w:rsid w:val="009D76F3"/>
    <w:rsid w:val="009E1F2D"/>
    <w:rsid w:val="009E23AE"/>
    <w:rsid w:val="009E2FBC"/>
    <w:rsid w:val="009E40C0"/>
    <w:rsid w:val="009E40C8"/>
    <w:rsid w:val="009E5EF7"/>
    <w:rsid w:val="009F073A"/>
    <w:rsid w:val="009F3008"/>
    <w:rsid w:val="009F3A22"/>
    <w:rsid w:val="009F4258"/>
    <w:rsid w:val="009F490D"/>
    <w:rsid w:val="009F5202"/>
    <w:rsid w:val="009F55E1"/>
    <w:rsid w:val="009F67D5"/>
    <w:rsid w:val="009F6BC2"/>
    <w:rsid w:val="009F6F95"/>
    <w:rsid w:val="009F769B"/>
    <w:rsid w:val="00A01088"/>
    <w:rsid w:val="00A015C3"/>
    <w:rsid w:val="00A015DA"/>
    <w:rsid w:val="00A02174"/>
    <w:rsid w:val="00A034E1"/>
    <w:rsid w:val="00A0364E"/>
    <w:rsid w:val="00A03A7B"/>
    <w:rsid w:val="00A03AE4"/>
    <w:rsid w:val="00A04350"/>
    <w:rsid w:val="00A04510"/>
    <w:rsid w:val="00A04C4B"/>
    <w:rsid w:val="00A05374"/>
    <w:rsid w:val="00A05F06"/>
    <w:rsid w:val="00A061CE"/>
    <w:rsid w:val="00A06AAD"/>
    <w:rsid w:val="00A1119B"/>
    <w:rsid w:val="00A11B40"/>
    <w:rsid w:val="00A122A8"/>
    <w:rsid w:val="00A13FAD"/>
    <w:rsid w:val="00A14511"/>
    <w:rsid w:val="00A1490D"/>
    <w:rsid w:val="00A151C2"/>
    <w:rsid w:val="00A17223"/>
    <w:rsid w:val="00A20612"/>
    <w:rsid w:val="00A207F6"/>
    <w:rsid w:val="00A20B4E"/>
    <w:rsid w:val="00A221AB"/>
    <w:rsid w:val="00A222B6"/>
    <w:rsid w:val="00A234B6"/>
    <w:rsid w:val="00A2397E"/>
    <w:rsid w:val="00A23F19"/>
    <w:rsid w:val="00A23FDE"/>
    <w:rsid w:val="00A24E4E"/>
    <w:rsid w:val="00A25A19"/>
    <w:rsid w:val="00A25CC7"/>
    <w:rsid w:val="00A2676D"/>
    <w:rsid w:val="00A26E4F"/>
    <w:rsid w:val="00A27024"/>
    <w:rsid w:val="00A2731B"/>
    <w:rsid w:val="00A27413"/>
    <w:rsid w:val="00A30A2E"/>
    <w:rsid w:val="00A30B9A"/>
    <w:rsid w:val="00A31A2D"/>
    <w:rsid w:val="00A31BEC"/>
    <w:rsid w:val="00A3295A"/>
    <w:rsid w:val="00A337A0"/>
    <w:rsid w:val="00A35211"/>
    <w:rsid w:val="00A36A02"/>
    <w:rsid w:val="00A37C18"/>
    <w:rsid w:val="00A40213"/>
    <w:rsid w:val="00A40BFE"/>
    <w:rsid w:val="00A430BD"/>
    <w:rsid w:val="00A448EB"/>
    <w:rsid w:val="00A45733"/>
    <w:rsid w:val="00A4645B"/>
    <w:rsid w:val="00A46C42"/>
    <w:rsid w:val="00A470A1"/>
    <w:rsid w:val="00A47633"/>
    <w:rsid w:val="00A5042D"/>
    <w:rsid w:val="00A513CA"/>
    <w:rsid w:val="00A52359"/>
    <w:rsid w:val="00A53D94"/>
    <w:rsid w:val="00A554C3"/>
    <w:rsid w:val="00A56D56"/>
    <w:rsid w:val="00A56E6F"/>
    <w:rsid w:val="00A57BBD"/>
    <w:rsid w:val="00A60EE5"/>
    <w:rsid w:val="00A61393"/>
    <w:rsid w:val="00A62061"/>
    <w:rsid w:val="00A62284"/>
    <w:rsid w:val="00A62419"/>
    <w:rsid w:val="00A6290B"/>
    <w:rsid w:val="00A62B5B"/>
    <w:rsid w:val="00A62BFF"/>
    <w:rsid w:val="00A62E4E"/>
    <w:rsid w:val="00A64AA5"/>
    <w:rsid w:val="00A64FAF"/>
    <w:rsid w:val="00A6517C"/>
    <w:rsid w:val="00A665AF"/>
    <w:rsid w:val="00A6701C"/>
    <w:rsid w:val="00A71500"/>
    <w:rsid w:val="00A72448"/>
    <w:rsid w:val="00A72545"/>
    <w:rsid w:val="00A73516"/>
    <w:rsid w:val="00A747CE"/>
    <w:rsid w:val="00A74C1D"/>
    <w:rsid w:val="00A7636B"/>
    <w:rsid w:val="00A77D5B"/>
    <w:rsid w:val="00A82956"/>
    <w:rsid w:val="00A84E23"/>
    <w:rsid w:val="00A85844"/>
    <w:rsid w:val="00A86291"/>
    <w:rsid w:val="00A87456"/>
    <w:rsid w:val="00A87471"/>
    <w:rsid w:val="00A8770E"/>
    <w:rsid w:val="00A907DE"/>
    <w:rsid w:val="00A90FC5"/>
    <w:rsid w:val="00A938C7"/>
    <w:rsid w:val="00A94748"/>
    <w:rsid w:val="00A95693"/>
    <w:rsid w:val="00A957EB"/>
    <w:rsid w:val="00A95EB0"/>
    <w:rsid w:val="00A967FD"/>
    <w:rsid w:val="00A97281"/>
    <w:rsid w:val="00AA0280"/>
    <w:rsid w:val="00AA1D64"/>
    <w:rsid w:val="00AA322D"/>
    <w:rsid w:val="00AA3692"/>
    <w:rsid w:val="00AA640B"/>
    <w:rsid w:val="00AA6A00"/>
    <w:rsid w:val="00AA6EC0"/>
    <w:rsid w:val="00AA7BEB"/>
    <w:rsid w:val="00AB04D6"/>
    <w:rsid w:val="00AB05A1"/>
    <w:rsid w:val="00AB0A4D"/>
    <w:rsid w:val="00AB0B0F"/>
    <w:rsid w:val="00AB0CB2"/>
    <w:rsid w:val="00AB2076"/>
    <w:rsid w:val="00AB3F5F"/>
    <w:rsid w:val="00AB4A75"/>
    <w:rsid w:val="00AB542E"/>
    <w:rsid w:val="00AB5A67"/>
    <w:rsid w:val="00AB5A91"/>
    <w:rsid w:val="00AB6717"/>
    <w:rsid w:val="00AB768B"/>
    <w:rsid w:val="00AB7D6E"/>
    <w:rsid w:val="00AC0A59"/>
    <w:rsid w:val="00AC18CD"/>
    <w:rsid w:val="00AC2267"/>
    <w:rsid w:val="00AC613B"/>
    <w:rsid w:val="00AC721F"/>
    <w:rsid w:val="00AC78CA"/>
    <w:rsid w:val="00AD0E64"/>
    <w:rsid w:val="00AD2BDC"/>
    <w:rsid w:val="00AD3CA9"/>
    <w:rsid w:val="00AD43E2"/>
    <w:rsid w:val="00AD4FB2"/>
    <w:rsid w:val="00AD5D5A"/>
    <w:rsid w:val="00AD5ED9"/>
    <w:rsid w:val="00AD64BA"/>
    <w:rsid w:val="00AD6FA4"/>
    <w:rsid w:val="00AE087D"/>
    <w:rsid w:val="00AE13B8"/>
    <w:rsid w:val="00AE2385"/>
    <w:rsid w:val="00AE33E7"/>
    <w:rsid w:val="00AE387D"/>
    <w:rsid w:val="00AE39D4"/>
    <w:rsid w:val="00AE4A2C"/>
    <w:rsid w:val="00AE4A93"/>
    <w:rsid w:val="00AE5606"/>
    <w:rsid w:val="00AE6B76"/>
    <w:rsid w:val="00AF1890"/>
    <w:rsid w:val="00AF1AF8"/>
    <w:rsid w:val="00AF1F50"/>
    <w:rsid w:val="00AF1FA0"/>
    <w:rsid w:val="00AF2B12"/>
    <w:rsid w:val="00AF317E"/>
    <w:rsid w:val="00AF35FF"/>
    <w:rsid w:val="00AF3D19"/>
    <w:rsid w:val="00AF3E34"/>
    <w:rsid w:val="00AF4BC8"/>
    <w:rsid w:val="00AF50AE"/>
    <w:rsid w:val="00AF5F1C"/>
    <w:rsid w:val="00AF5FBC"/>
    <w:rsid w:val="00AF6740"/>
    <w:rsid w:val="00AF6CFD"/>
    <w:rsid w:val="00AF70D3"/>
    <w:rsid w:val="00B00A03"/>
    <w:rsid w:val="00B00DD6"/>
    <w:rsid w:val="00B00F74"/>
    <w:rsid w:val="00B0115B"/>
    <w:rsid w:val="00B01341"/>
    <w:rsid w:val="00B01463"/>
    <w:rsid w:val="00B017A1"/>
    <w:rsid w:val="00B017B0"/>
    <w:rsid w:val="00B017EF"/>
    <w:rsid w:val="00B02D70"/>
    <w:rsid w:val="00B03960"/>
    <w:rsid w:val="00B03EE4"/>
    <w:rsid w:val="00B05CAC"/>
    <w:rsid w:val="00B071E3"/>
    <w:rsid w:val="00B07CBE"/>
    <w:rsid w:val="00B07F0B"/>
    <w:rsid w:val="00B1046F"/>
    <w:rsid w:val="00B11557"/>
    <w:rsid w:val="00B11A40"/>
    <w:rsid w:val="00B11A90"/>
    <w:rsid w:val="00B123DD"/>
    <w:rsid w:val="00B127D9"/>
    <w:rsid w:val="00B12CFD"/>
    <w:rsid w:val="00B1452D"/>
    <w:rsid w:val="00B1499F"/>
    <w:rsid w:val="00B14E2E"/>
    <w:rsid w:val="00B150A1"/>
    <w:rsid w:val="00B16FC9"/>
    <w:rsid w:val="00B17C6A"/>
    <w:rsid w:val="00B2187B"/>
    <w:rsid w:val="00B219D1"/>
    <w:rsid w:val="00B22E08"/>
    <w:rsid w:val="00B22EE9"/>
    <w:rsid w:val="00B236EE"/>
    <w:rsid w:val="00B237E4"/>
    <w:rsid w:val="00B24CD3"/>
    <w:rsid w:val="00B255DF"/>
    <w:rsid w:val="00B25F65"/>
    <w:rsid w:val="00B2625A"/>
    <w:rsid w:val="00B2643C"/>
    <w:rsid w:val="00B2661E"/>
    <w:rsid w:val="00B26B07"/>
    <w:rsid w:val="00B26D29"/>
    <w:rsid w:val="00B309B6"/>
    <w:rsid w:val="00B30D62"/>
    <w:rsid w:val="00B31D55"/>
    <w:rsid w:val="00B326DD"/>
    <w:rsid w:val="00B34FD4"/>
    <w:rsid w:val="00B3753F"/>
    <w:rsid w:val="00B379FC"/>
    <w:rsid w:val="00B37DFD"/>
    <w:rsid w:val="00B4166E"/>
    <w:rsid w:val="00B425FB"/>
    <w:rsid w:val="00B4286A"/>
    <w:rsid w:val="00B42BC6"/>
    <w:rsid w:val="00B47721"/>
    <w:rsid w:val="00B47F1B"/>
    <w:rsid w:val="00B50B81"/>
    <w:rsid w:val="00B51375"/>
    <w:rsid w:val="00B5158F"/>
    <w:rsid w:val="00B51662"/>
    <w:rsid w:val="00B51BDB"/>
    <w:rsid w:val="00B51CD4"/>
    <w:rsid w:val="00B528EA"/>
    <w:rsid w:val="00B532FD"/>
    <w:rsid w:val="00B54EFE"/>
    <w:rsid w:val="00B552D5"/>
    <w:rsid w:val="00B55BEB"/>
    <w:rsid w:val="00B60E8B"/>
    <w:rsid w:val="00B6242E"/>
    <w:rsid w:val="00B648ED"/>
    <w:rsid w:val="00B64D66"/>
    <w:rsid w:val="00B64EA4"/>
    <w:rsid w:val="00B655AF"/>
    <w:rsid w:val="00B67469"/>
    <w:rsid w:val="00B6789E"/>
    <w:rsid w:val="00B71156"/>
    <w:rsid w:val="00B73B22"/>
    <w:rsid w:val="00B73DF8"/>
    <w:rsid w:val="00B7445D"/>
    <w:rsid w:val="00B74D30"/>
    <w:rsid w:val="00B74EB4"/>
    <w:rsid w:val="00B763EA"/>
    <w:rsid w:val="00B813CB"/>
    <w:rsid w:val="00B81592"/>
    <w:rsid w:val="00B81B6D"/>
    <w:rsid w:val="00B826A7"/>
    <w:rsid w:val="00B834AF"/>
    <w:rsid w:val="00B856A0"/>
    <w:rsid w:val="00B866DF"/>
    <w:rsid w:val="00B87308"/>
    <w:rsid w:val="00B90669"/>
    <w:rsid w:val="00B915C1"/>
    <w:rsid w:val="00B91B8A"/>
    <w:rsid w:val="00B92E25"/>
    <w:rsid w:val="00B92F44"/>
    <w:rsid w:val="00B936C7"/>
    <w:rsid w:val="00B93772"/>
    <w:rsid w:val="00B937ED"/>
    <w:rsid w:val="00B938C1"/>
    <w:rsid w:val="00B95292"/>
    <w:rsid w:val="00B96EBA"/>
    <w:rsid w:val="00B9781B"/>
    <w:rsid w:val="00BA0FA9"/>
    <w:rsid w:val="00BA1CA4"/>
    <w:rsid w:val="00BA30ED"/>
    <w:rsid w:val="00BA3F94"/>
    <w:rsid w:val="00BA4DF3"/>
    <w:rsid w:val="00BA5EB2"/>
    <w:rsid w:val="00BA6AF9"/>
    <w:rsid w:val="00BA6E9B"/>
    <w:rsid w:val="00BA6F24"/>
    <w:rsid w:val="00BA76D8"/>
    <w:rsid w:val="00BB230B"/>
    <w:rsid w:val="00BB2DB1"/>
    <w:rsid w:val="00BB4553"/>
    <w:rsid w:val="00BB4E49"/>
    <w:rsid w:val="00BB52F3"/>
    <w:rsid w:val="00BB55E9"/>
    <w:rsid w:val="00BB6B7F"/>
    <w:rsid w:val="00BB716D"/>
    <w:rsid w:val="00BB755E"/>
    <w:rsid w:val="00BB7623"/>
    <w:rsid w:val="00BC099D"/>
    <w:rsid w:val="00BC0E63"/>
    <w:rsid w:val="00BC1019"/>
    <w:rsid w:val="00BC1612"/>
    <w:rsid w:val="00BC1D11"/>
    <w:rsid w:val="00BC249A"/>
    <w:rsid w:val="00BC29D2"/>
    <w:rsid w:val="00BC4850"/>
    <w:rsid w:val="00BC5671"/>
    <w:rsid w:val="00BC5898"/>
    <w:rsid w:val="00BC60B3"/>
    <w:rsid w:val="00BC61C9"/>
    <w:rsid w:val="00BC65EE"/>
    <w:rsid w:val="00BC6C37"/>
    <w:rsid w:val="00BC7C9B"/>
    <w:rsid w:val="00BD0C0B"/>
    <w:rsid w:val="00BD13AB"/>
    <w:rsid w:val="00BD41E7"/>
    <w:rsid w:val="00BD48DD"/>
    <w:rsid w:val="00BD4DFC"/>
    <w:rsid w:val="00BD4EC0"/>
    <w:rsid w:val="00BD6323"/>
    <w:rsid w:val="00BD65FB"/>
    <w:rsid w:val="00BD6C40"/>
    <w:rsid w:val="00BD6EC9"/>
    <w:rsid w:val="00BE0163"/>
    <w:rsid w:val="00BE07E5"/>
    <w:rsid w:val="00BE1E7E"/>
    <w:rsid w:val="00BE355B"/>
    <w:rsid w:val="00BE4B48"/>
    <w:rsid w:val="00BE4EF2"/>
    <w:rsid w:val="00BE50E9"/>
    <w:rsid w:val="00BE704E"/>
    <w:rsid w:val="00BE7B24"/>
    <w:rsid w:val="00BE7D44"/>
    <w:rsid w:val="00BF0E2E"/>
    <w:rsid w:val="00BF201A"/>
    <w:rsid w:val="00BF231D"/>
    <w:rsid w:val="00BF25FB"/>
    <w:rsid w:val="00BF35F2"/>
    <w:rsid w:val="00BF4453"/>
    <w:rsid w:val="00BF51CF"/>
    <w:rsid w:val="00BF58E4"/>
    <w:rsid w:val="00BF5BDE"/>
    <w:rsid w:val="00BF5D7C"/>
    <w:rsid w:val="00BF6C0C"/>
    <w:rsid w:val="00BF75C0"/>
    <w:rsid w:val="00BF7985"/>
    <w:rsid w:val="00BF7CC4"/>
    <w:rsid w:val="00C0092B"/>
    <w:rsid w:val="00C01007"/>
    <w:rsid w:val="00C01A0F"/>
    <w:rsid w:val="00C02934"/>
    <w:rsid w:val="00C0295B"/>
    <w:rsid w:val="00C0351C"/>
    <w:rsid w:val="00C038AD"/>
    <w:rsid w:val="00C05379"/>
    <w:rsid w:val="00C06350"/>
    <w:rsid w:val="00C076FB"/>
    <w:rsid w:val="00C10D66"/>
    <w:rsid w:val="00C12091"/>
    <w:rsid w:val="00C12651"/>
    <w:rsid w:val="00C12A3F"/>
    <w:rsid w:val="00C12C99"/>
    <w:rsid w:val="00C12CFA"/>
    <w:rsid w:val="00C13620"/>
    <w:rsid w:val="00C13EEC"/>
    <w:rsid w:val="00C14777"/>
    <w:rsid w:val="00C14C21"/>
    <w:rsid w:val="00C17EB3"/>
    <w:rsid w:val="00C22256"/>
    <w:rsid w:val="00C231A3"/>
    <w:rsid w:val="00C2348B"/>
    <w:rsid w:val="00C23A3B"/>
    <w:rsid w:val="00C23EC0"/>
    <w:rsid w:val="00C23F96"/>
    <w:rsid w:val="00C248CA"/>
    <w:rsid w:val="00C25268"/>
    <w:rsid w:val="00C256AC"/>
    <w:rsid w:val="00C257DB"/>
    <w:rsid w:val="00C26718"/>
    <w:rsid w:val="00C30026"/>
    <w:rsid w:val="00C30037"/>
    <w:rsid w:val="00C305E9"/>
    <w:rsid w:val="00C30988"/>
    <w:rsid w:val="00C3342A"/>
    <w:rsid w:val="00C3350E"/>
    <w:rsid w:val="00C33DC3"/>
    <w:rsid w:val="00C35BB4"/>
    <w:rsid w:val="00C36AB6"/>
    <w:rsid w:val="00C41043"/>
    <w:rsid w:val="00C4113C"/>
    <w:rsid w:val="00C41B0D"/>
    <w:rsid w:val="00C42311"/>
    <w:rsid w:val="00C4380F"/>
    <w:rsid w:val="00C439AA"/>
    <w:rsid w:val="00C44916"/>
    <w:rsid w:val="00C44D68"/>
    <w:rsid w:val="00C44F0F"/>
    <w:rsid w:val="00C45923"/>
    <w:rsid w:val="00C4690E"/>
    <w:rsid w:val="00C46A57"/>
    <w:rsid w:val="00C46B79"/>
    <w:rsid w:val="00C47402"/>
    <w:rsid w:val="00C51235"/>
    <w:rsid w:val="00C531AF"/>
    <w:rsid w:val="00C54A40"/>
    <w:rsid w:val="00C54AEA"/>
    <w:rsid w:val="00C55842"/>
    <w:rsid w:val="00C55AE7"/>
    <w:rsid w:val="00C56DB8"/>
    <w:rsid w:val="00C57FD0"/>
    <w:rsid w:val="00C60C17"/>
    <w:rsid w:val="00C621CD"/>
    <w:rsid w:val="00C639DB"/>
    <w:rsid w:val="00C6635B"/>
    <w:rsid w:val="00C6663A"/>
    <w:rsid w:val="00C66C63"/>
    <w:rsid w:val="00C66C8A"/>
    <w:rsid w:val="00C67396"/>
    <w:rsid w:val="00C6758C"/>
    <w:rsid w:val="00C704E0"/>
    <w:rsid w:val="00C712BB"/>
    <w:rsid w:val="00C7150B"/>
    <w:rsid w:val="00C71AF1"/>
    <w:rsid w:val="00C7450A"/>
    <w:rsid w:val="00C74883"/>
    <w:rsid w:val="00C759BC"/>
    <w:rsid w:val="00C75E4C"/>
    <w:rsid w:val="00C7624A"/>
    <w:rsid w:val="00C768D1"/>
    <w:rsid w:val="00C80E11"/>
    <w:rsid w:val="00C81C68"/>
    <w:rsid w:val="00C82041"/>
    <w:rsid w:val="00C82605"/>
    <w:rsid w:val="00C82966"/>
    <w:rsid w:val="00C82DB2"/>
    <w:rsid w:val="00C847C0"/>
    <w:rsid w:val="00C85CB1"/>
    <w:rsid w:val="00C86B6D"/>
    <w:rsid w:val="00C86C3A"/>
    <w:rsid w:val="00C86CB0"/>
    <w:rsid w:val="00C91224"/>
    <w:rsid w:val="00C950D4"/>
    <w:rsid w:val="00C952D5"/>
    <w:rsid w:val="00C95C14"/>
    <w:rsid w:val="00C97269"/>
    <w:rsid w:val="00CA01C4"/>
    <w:rsid w:val="00CA0DFC"/>
    <w:rsid w:val="00CA16A2"/>
    <w:rsid w:val="00CA207B"/>
    <w:rsid w:val="00CA24CB"/>
    <w:rsid w:val="00CA3D0D"/>
    <w:rsid w:val="00CA54AA"/>
    <w:rsid w:val="00CA5B46"/>
    <w:rsid w:val="00CA5CFF"/>
    <w:rsid w:val="00CA6B5E"/>
    <w:rsid w:val="00CA6CAE"/>
    <w:rsid w:val="00CB1005"/>
    <w:rsid w:val="00CB13B8"/>
    <w:rsid w:val="00CB1A2B"/>
    <w:rsid w:val="00CB5F37"/>
    <w:rsid w:val="00CC089A"/>
    <w:rsid w:val="00CC20BD"/>
    <w:rsid w:val="00CC24CB"/>
    <w:rsid w:val="00CC395E"/>
    <w:rsid w:val="00CC49D0"/>
    <w:rsid w:val="00CC5851"/>
    <w:rsid w:val="00CC5C88"/>
    <w:rsid w:val="00CC6CF9"/>
    <w:rsid w:val="00CC70E6"/>
    <w:rsid w:val="00CC79FC"/>
    <w:rsid w:val="00CD04E0"/>
    <w:rsid w:val="00CD1773"/>
    <w:rsid w:val="00CD2FF6"/>
    <w:rsid w:val="00CD531D"/>
    <w:rsid w:val="00CD7050"/>
    <w:rsid w:val="00CD70A9"/>
    <w:rsid w:val="00CE13FA"/>
    <w:rsid w:val="00CE2694"/>
    <w:rsid w:val="00CE3DEF"/>
    <w:rsid w:val="00CE411E"/>
    <w:rsid w:val="00CE4789"/>
    <w:rsid w:val="00CE520B"/>
    <w:rsid w:val="00CE6505"/>
    <w:rsid w:val="00CE6C61"/>
    <w:rsid w:val="00CE77F6"/>
    <w:rsid w:val="00CE7C68"/>
    <w:rsid w:val="00CF1114"/>
    <w:rsid w:val="00CF248A"/>
    <w:rsid w:val="00CF337F"/>
    <w:rsid w:val="00CF3FAF"/>
    <w:rsid w:val="00CF463F"/>
    <w:rsid w:val="00CF4CF0"/>
    <w:rsid w:val="00CF5105"/>
    <w:rsid w:val="00CF6CB7"/>
    <w:rsid w:val="00CF7312"/>
    <w:rsid w:val="00D01B47"/>
    <w:rsid w:val="00D02CA9"/>
    <w:rsid w:val="00D02E54"/>
    <w:rsid w:val="00D03AE3"/>
    <w:rsid w:val="00D03C6C"/>
    <w:rsid w:val="00D03FA0"/>
    <w:rsid w:val="00D0561D"/>
    <w:rsid w:val="00D05ADA"/>
    <w:rsid w:val="00D073E5"/>
    <w:rsid w:val="00D07B89"/>
    <w:rsid w:val="00D10912"/>
    <w:rsid w:val="00D10DE5"/>
    <w:rsid w:val="00D10DFB"/>
    <w:rsid w:val="00D1126A"/>
    <w:rsid w:val="00D11EDE"/>
    <w:rsid w:val="00D12418"/>
    <w:rsid w:val="00D12548"/>
    <w:rsid w:val="00D126C6"/>
    <w:rsid w:val="00D12956"/>
    <w:rsid w:val="00D12DF6"/>
    <w:rsid w:val="00D12F44"/>
    <w:rsid w:val="00D13328"/>
    <w:rsid w:val="00D16096"/>
    <w:rsid w:val="00D163C8"/>
    <w:rsid w:val="00D16B8A"/>
    <w:rsid w:val="00D1706F"/>
    <w:rsid w:val="00D1727B"/>
    <w:rsid w:val="00D2040D"/>
    <w:rsid w:val="00D21631"/>
    <w:rsid w:val="00D21827"/>
    <w:rsid w:val="00D2182C"/>
    <w:rsid w:val="00D229DF"/>
    <w:rsid w:val="00D22E06"/>
    <w:rsid w:val="00D2376A"/>
    <w:rsid w:val="00D23BAC"/>
    <w:rsid w:val="00D243D0"/>
    <w:rsid w:val="00D2454F"/>
    <w:rsid w:val="00D247C0"/>
    <w:rsid w:val="00D256C4"/>
    <w:rsid w:val="00D25A92"/>
    <w:rsid w:val="00D25D7A"/>
    <w:rsid w:val="00D263AC"/>
    <w:rsid w:val="00D26403"/>
    <w:rsid w:val="00D26D8E"/>
    <w:rsid w:val="00D26DFC"/>
    <w:rsid w:val="00D3007A"/>
    <w:rsid w:val="00D31290"/>
    <w:rsid w:val="00D33B05"/>
    <w:rsid w:val="00D34518"/>
    <w:rsid w:val="00D35562"/>
    <w:rsid w:val="00D35D00"/>
    <w:rsid w:val="00D36137"/>
    <w:rsid w:val="00D36ADA"/>
    <w:rsid w:val="00D37876"/>
    <w:rsid w:val="00D40CF5"/>
    <w:rsid w:val="00D41319"/>
    <w:rsid w:val="00D41B52"/>
    <w:rsid w:val="00D42B12"/>
    <w:rsid w:val="00D43277"/>
    <w:rsid w:val="00D434A8"/>
    <w:rsid w:val="00D43EAB"/>
    <w:rsid w:val="00D45F83"/>
    <w:rsid w:val="00D4627A"/>
    <w:rsid w:val="00D4680A"/>
    <w:rsid w:val="00D479C1"/>
    <w:rsid w:val="00D50BDF"/>
    <w:rsid w:val="00D52C83"/>
    <w:rsid w:val="00D53510"/>
    <w:rsid w:val="00D535D6"/>
    <w:rsid w:val="00D5478A"/>
    <w:rsid w:val="00D5488D"/>
    <w:rsid w:val="00D604CD"/>
    <w:rsid w:val="00D60F03"/>
    <w:rsid w:val="00D61B53"/>
    <w:rsid w:val="00D62DA7"/>
    <w:rsid w:val="00D6303E"/>
    <w:rsid w:val="00D6377A"/>
    <w:rsid w:val="00D638FD"/>
    <w:rsid w:val="00D6534C"/>
    <w:rsid w:val="00D65D93"/>
    <w:rsid w:val="00D66E7F"/>
    <w:rsid w:val="00D67A4C"/>
    <w:rsid w:val="00D708D1"/>
    <w:rsid w:val="00D70A53"/>
    <w:rsid w:val="00D7195E"/>
    <w:rsid w:val="00D71AEC"/>
    <w:rsid w:val="00D71BBC"/>
    <w:rsid w:val="00D71D57"/>
    <w:rsid w:val="00D72E83"/>
    <w:rsid w:val="00D73217"/>
    <w:rsid w:val="00D73FFA"/>
    <w:rsid w:val="00D74F98"/>
    <w:rsid w:val="00D75CB3"/>
    <w:rsid w:val="00D75F0B"/>
    <w:rsid w:val="00D76A0D"/>
    <w:rsid w:val="00D76BAE"/>
    <w:rsid w:val="00D771C1"/>
    <w:rsid w:val="00D771ED"/>
    <w:rsid w:val="00D77287"/>
    <w:rsid w:val="00D77C98"/>
    <w:rsid w:val="00D77ECC"/>
    <w:rsid w:val="00D80C54"/>
    <w:rsid w:val="00D81183"/>
    <w:rsid w:val="00D817A1"/>
    <w:rsid w:val="00D819BE"/>
    <w:rsid w:val="00D81DB8"/>
    <w:rsid w:val="00D82019"/>
    <w:rsid w:val="00D83686"/>
    <w:rsid w:val="00D856B2"/>
    <w:rsid w:val="00D856EB"/>
    <w:rsid w:val="00D857EE"/>
    <w:rsid w:val="00D86594"/>
    <w:rsid w:val="00D9034A"/>
    <w:rsid w:val="00D90712"/>
    <w:rsid w:val="00D90CBC"/>
    <w:rsid w:val="00D94027"/>
    <w:rsid w:val="00D94A2E"/>
    <w:rsid w:val="00D94EBE"/>
    <w:rsid w:val="00D95190"/>
    <w:rsid w:val="00D96571"/>
    <w:rsid w:val="00D96C6E"/>
    <w:rsid w:val="00D977E3"/>
    <w:rsid w:val="00DA0444"/>
    <w:rsid w:val="00DA1A77"/>
    <w:rsid w:val="00DA2A5D"/>
    <w:rsid w:val="00DA2B44"/>
    <w:rsid w:val="00DA2D2A"/>
    <w:rsid w:val="00DA303C"/>
    <w:rsid w:val="00DA37BC"/>
    <w:rsid w:val="00DA3E10"/>
    <w:rsid w:val="00DA4F32"/>
    <w:rsid w:val="00DA5333"/>
    <w:rsid w:val="00DA5348"/>
    <w:rsid w:val="00DA5EE8"/>
    <w:rsid w:val="00DA6CFF"/>
    <w:rsid w:val="00DA753F"/>
    <w:rsid w:val="00DA7625"/>
    <w:rsid w:val="00DA79A9"/>
    <w:rsid w:val="00DB304A"/>
    <w:rsid w:val="00DB4920"/>
    <w:rsid w:val="00DB4A0A"/>
    <w:rsid w:val="00DB7E60"/>
    <w:rsid w:val="00DC2EC5"/>
    <w:rsid w:val="00DC6012"/>
    <w:rsid w:val="00DC7054"/>
    <w:rsid w:val="00DD248B"/>
    <w:rsid w:val="00DD2F95"/>
    <w:rsid w:val="00DD3320"/>
    <w:rsid w:val="00DD3D94"/>
    <w:rsid w:val="00DD488A"/>
    <w:rsid w:val="00DD7DC6"/>
    <w:rsid w:val="00DE0A5C"/>
    <w:rsid w:val="00DE2149"/>
    <w:rsid w:val="00DE2854"/>
    <w:rsid w:val="00DE29C2"/>
    <w:rsid w:val="00DE326A"/>
    <w:rsid w:val="00DE37DE"/>
    <w:rsid w:val="00DE46BB"/>
    <w:rsid w:val="00DE4A37"/>
    <w:rsid w:val="00DE52BF"/>
    <w:rsid w:val="00DE681D"/>
    <w:rsid w:val="00DE7D00"/>
    <w:rsid w:val="00DF04B2"/>
    <w:rsid w:val="00DF09E2"/>
    <w:rsid w:val="00DF17EF"/>
    <w:rsid w:val="00DF1D7E"/>
    <w:rsid w:val="00DF254D"/>
    <w:rsid w:val="00DF3165"/>
    <w:rsid w:val="00DF371E"/>
    <w:rsid w:val="00DF6407"/>
    <w:rsid w:val="00DF6561"/>
    <w:rsid w:val="00DF6613"/>
    <w:rsid w:val="00DF7557"/>
    <w:rsid w:val="00DF75CB"/>
    <w:rsid w:val="00E002D6"/>
    <w:rsid w:val="00E02A70"/>
    <w:rsid w:val="00E03154"/>
    <w:rsid w:val="00E036C4"/>
    <w:rsid w:val="00E039D5"/>
    <w:rsid w:val="00E052B7"/>
    <w:rsid w:val="00E062A4"/>
    <w:rsid w:val="00E06BA3"/>
    <w:rsid w:val="00E0784E"/>
    <w:rsid w:val="00E10C58"/>
    <w:rsid w:val="00E10E99"/>
    <w:rsid w:val="00E1132C"/>
    <w:rsid w:val="00E1138F"/>
    <w:rsid w:val="00E1232F"/>
    <w:rsid w:val="00E1334F"/>
    <w:rsid w:val="00E1356C"/>
    <w:rsid w:val="00E144AA"/>
    <w:rsid w:val="00E150E0"/>
    <w:rsid w:val="00E15B0E"/>
    <w:rsid w:val="00E15F79"/>
    <w:rsid w:val="00E20324"/>
    <w:rsid w:val="00E20A1E"/>
    <w:rsid w:val="00E219D2"/>
    <w:rsid w:val="00E245C1"/>
    <w:rsid w:val="00E24628"/>
    <w:rsid w:val="00E26747"/>
    <w:rsid w:val="00E26A3B"/>
    <w:rsid w:val="00E305BA"/>
    <w:rsid w:val="00E30654"/>
    <w:rsid w:val="00E30E61"/>
    <w:rsid w:val="00E31C05"/>
    <w:rsid w:val="00E31D83"/>
    <w:rsid w:val="00E33F7B"/>
    <w:rsid w:val="00E3415C"/>
    <w:rsid w:val="00E3428C"/>
    <w:rsid w:val="00E356A7"/>
    <w:rsid w:val="00E36FE8"/>
    <w:rsid w:val="00E37226"/>
    <w:rsid w:val="00E3735D"/>
    <w:rsid w:val="00E41301"/>
    <w:rsid w:val="00E414E9"/>
    <w:rsid w:val="00E4167C"/>
    <w:rsid w:val="00E419B8"/>
    <w:rsid w:val="00E421FB"/>
    <w:rsid w:val="00E425A2"/>
    <w:rsid w:val="00E43BC9"/>
    <w:rsid w:val="00E43FF6"/>
    <w:rsid w:val="00E44993"/>
    <w:rsid w:val="00E44CE1"/>
    <w:rsid w:val="00E44D7D"/>
    <w:rsid w:val="00E46DD1"/>
    <w:rsid w:val="00E5062E"/>
    <w:rsid w:val="00E506BB"/>
    <w:rsid w:val="00E5247D"/>
    <w:rsid w:val="00E52D70"/>
    <w:rsid w:val="00E53B66"/>
    <w:rsid w:val="00E54064"/>
    <w:rsid w:val="00E541AE"/>
    <w:rsid w:val="00E5437D"/>
    <w:rsid w:val="00E54CB2"/>
    <w:rsid w:val="00E55284"/>
    <w:rsid w:val="00E57BB4"/>
    <w:rsid w:val="00E6062E"/>
    <w:rsid w:val="00E612F7"/>
    <w:rsid w:val="00E63732"/>
    <w:rsid w:val="00E63F3E"/>
    <w:rsid w:val="00E64E1E"/>
    <w:rsid w:val="00E65F49"/>
    <w:rsid w:val="00E66396"/>
    <w:rsid w:val="00E6655E"/>
    <w:rsid w:val="00E66D6D"/>
    <w:rsid w:val="00E70392"/>
    <w:rsid w:val="00E7159A"/>
    <w:rsid w:val="00E71846"/>
    <w:rsid w:val="00E71EF9"/>
    <w:rsid w:val="00E7275F"/>
    <w:rsid w:val="00E727BF"/>
    <w:rsid w:val="00E73AC1"/>
    <w:rsid w:val="00E73B90"/>
    <w:rsid w:val="00E75E84"/>
    <w:rsid w:val="00E76AAD"/>
    <w:rsid w:val="00E8003A"/>
    <w:rsid w:val="00E80173"/>
    <w:rsid w:val="00E825C1"/>
    <w:rsid w:val="00E82641"/>
    <w:rsid w:val="00E842B3"/>
    <w:rsid w:val="00E844CE"/>
    <w:rsid w:val="00E86BD9"/>
    <w:rsid w:val="00E90E29"/>
    <w:rsid w:val="00E924B0"/>
    <w:rsid w:val="00E932E0"/>
    <w:rsid w:val="00E93A90"/>
    <w:rsid w:val="00E94720"/>
    <w:rsid w:val="00E96BBC"/>
    <w:rsid w:val="00E97701"/>
    <w:rsid w:val="00E97DBE"/>
    <w:rsid w:val="00EA1BE6"/>
    <w:rsid w:val="00EA229A"/>
    <w:rsid w:val="00EA2DC7"/>
    <w:rsid w:val="00EA397C"/>
    <w:rsid w:val="00EA5402"/>
    <w:rsid w:val="00EA5524"/>
    <w:rsid w:val="00EA5950"/>
    <w:rsid w:val="00EA660C"/>
    <w:rsid w:val="00EA6CF6"/>
    <w:rsid w:val="00EA6E50"/>
    <w:rsid w:val="00EA79DA"/>
    <w:rsid w:val="00EA7B24"/>
    <w:rsid w:val="00EB2129"/>
    <w:rsid w:val="00EB2266"/>
    <w:rsid w:val="00EB2BC1"/>
    <w:rsid w:val="00EB5163"/>
    <w:rsid w:val="00EB75FA"/>
    <w:rsid w:val="00EB78BB"/>
    <w:rsid w:val="00EC01C7"/>
    <w:rsid w:val="00EC0C90"/>
    <w:rsid w:val="00EC0DD8"/>
    <w:rsid w:val="00EC2D35"/>
    <w:rsid w:val="00EC4F8F"/>
    <w:rsid w:val="00EC5E60"/>
    <w:rsid w:val="00EC7043"/>
    <w:rsid w:val="00EC7935"/>
    <w:rsid w:val="00EC7B7E"/>
    <w:rsid w:val="00EC7C11"/>
    <w:rsid w:val="00ED07EC"/>
    <w:rsid w:val="00ED0870"/>
    <w:rsid w:val="00ED2A5B"/>
    <w:rsid w:val="00ED3627"/>
    <w:rsid w:val="00ED47E6"/>
    <w:rsid w:val="00ED4D3D"/>
    <w:rsid w:val="00ED5127"/>
    <w:rsid w:val="00ED5D1C"/>
    <w:rsid w:val="00ED6B63"/>
    <w:rsid w:val="00ED6DF8"/>
    <w:rsid w:val="00ED76A6"/>
    <w:rsid w:val="00ED7861"/>
    <w:rsid w:val="00ED7DF6"/>
    <w:rsid w:val="00EE1FA3"/>
    <w:rsid w:val="00EE3379"/>
    <w:rsid w:val="00EE3968"/>
    <w:rsid w:val="00EE403C"/>
    <w:rsid w:val="00EE4DF3"/>
    <w:rsid w:val="00EE7662"/>
    <w:rsid w:val="00EE78A6"/>
    <w:rsid w:val="00EF0EC7"/>
    <w:rsid w:val="00EF2BA0"/>
    <w:rsid w:val="00EF2F36"/>
    <w:rsid w:val="00EF3756"/>
    <w:rsid w:val="00EF598A"/>
    <w:rsid w:val="00EF6D0B"/>
    <w:rsid w:val="00EF7F6B"/>
    <w:rsid w:val="00F00265"/>
    <w:rsid w:val="00F011E4"/>
    <w:rsid w:val="00F0186C"/>
    <w:rsid w:val="00F024CC"/>
    <w:rsid w:val="00F02534"/>
    <w:rsid w:val="00F04767"/>
    <w:rsid w:val="00F05BBE"/>
    <w:rsid w:val="00F061E5"/>
    <w:rsid w:val="00F06D0B"/>
    <w:rsid w:val="00F06FBD"/>
    <w:rsid w:val="00F0728A"/>
    <w:rsid w:val="00F07413"/>
    <w:rsid w:val="00F07551"/>
    <w:rsid w:val="00F10D1D"/>
    <w:rsid w:val="00F10FD5"/>
    <w:rsid w:val="00F1252C"/>
    <w:rsid w:val="00F13BA3"/>
    <w:rsid w:val="00F13CC8"/>
    <w:rsid w:val="00F141CD"/>
    <w:rsid w:val="00F15662"/>
    <w:rsid w:val="00F17636"/>
    <w:rsid w:val="00F2185C"/>
    <w:rsid w:val="00F2287D"/>
    <w:rsid w:val="00F22A4D"/>
    <w:rsid w:val="00F22B32"/>
    <w:rsid w:val="00F23C75"/>
    <w:rsid w:val="00F24374"/>
    <w:rsid w:val="00F24664"/>
    <w:rsid w:val="00F24E57"/>
    <w:rsid w:val="00F269AA"/>
    <w:rsid w:val="00F2715F"/>
    <w:rsid w:val="00F30232"/>
    <w:rsid w:val="00F31071"/>
    <w:rsid w:val="00F31381"/>
    <w:rsid w:val="00F3176D"/>
    <w:rsid w:val="00F32903"/>
    <w:rsid w:val="00F333B3"/>
    <w:rsid w:val="00F33DC6"/>
    <w:rsid w:val="00F346B9"/>
    <w:rsid w:val="00F34C81"/>
    <w:rsid w:val="00F34FEC"/>
    <w:rsid w:val="00F35C72"/>
    <w:rsid w:val="00F35C9D"/>
    <w:rsid w:val="00F36ACF"/>
    <w:rsid w:val="00F36EC8"/>
    <w:rsid w:val="00F37264"/>
    <w:rsid w:val="00F377CD"/>
    <w:rsid w:val="00F3794B"/>
    <w:rsid w:val="00F4099A"/>
    <w:rsid w:val="00F40F12"/>
    <w:rsid w:val="00F419D0"/>
    <w:rsid w:val="00F41AE2"/>
    <w:rsid w:val="00F424BA"/>
    <w:rsid w:val="00F42FE2"/>
    <w:rsid w:val="00F43A41"/>
    <w:rsid w:val="00F4436D"/>
    <w:rsid w:val="00F44ADB"/>
    <w:rsid w:val="00F4613D"/>
    <w:rsid w:val="00F4731D"/>
    <w:rsid w:val="00F50F86"/>
    <w:rsid w:val="00F51851"/>
    <w:rsid w:val="00F51E39"/>
    <w:rsid w:val="00F5214B"/>
    <w:rsid w:val="00F53025"/>
    <w:rsid w:val="00F5365E"/>
    <w:rsid w:val="00F543FA"/>
    <w:rsid w:val="00F56048"/>
    <w:rsid w:val="00F5660C"/>
    <w:rsid w:val="00F578E1"/>
    <w:rsid w:val="00F60CE6"/>
    <w:rsid w:val="00F61DBB"/>
    <w:rsid w:val="00F63195"/>
    <w:rsid w:val="00F6520E"/>
    <w:rsid w:val="00F65400"/>
    <w:rsid w:val="00F65FDF"/>
    <w:rsid w:val="00F666EB"/>
    <w:rsid w:val="00F70822"/>
    <w:rsid w:val="00F71EB8"/>
    <w:rsid w:val="00F720A6"/>
    <w:rsid w:val="00F726CD"/>
    <w:rsid w:val="00F72C6D"/>
    <w:rsid w:val="00F730BF"/>
    <w:rsid w:val="00F7344F"/>
    <w:rsid w:val="00F75C23"/>
    <w:rsid w:val="00F761A6"/>
    <w:rsid w:val="00F768CC"/>
    <w:rsid w:val="00F76E6E"/>
    <w:rsid w:val="00F771F6"/>
    <w:rsid w:val="00F777FC"/>
    <w:rsid w:val="00F779AA"/>
    <w:rsid w:val="00F80DA5"/>
    <w:rsid w:val="00F81076"/>
    <w:rsid w:val="00F82397"/>
    <w:rsid w:val="00F8250F"/>
    <w:rsid w:val="00F84531"/>
    <w:rsid w:val="00F846E0"/>
    <w:rsid w:val="00F848AD"/>
    <w:rsid w:val="00F85AA7"/>
    <w:rsid w:val="00F871CF"/>
    <w:rsid w:val="00F872C5"/>
    <w:rsid w:val="00F87DF0"/>
    <w:rsid w:val="00F90EB8"/>
    <w:rsid w:val="00F91C11"/>
    <w:rsid w:val="00F91D74"/>
    <w:rsid w:val="00F92118"/>
    <w:rsid w:val="00F9309F"/>
    <w:rsid w:val="00F933EC"/>
    <w:rsid w:val="00F935BD"/>
    <w:rsid w:val="00F93F0D"/>
    <w:rsid w:val="00F944FF"/>
    <w:rsid w:val="00F950D4"/>
    <w:rsid w:val="00F96625"/>
    <w:rsid w:val="00F96670"/>
    <w:rsid w:val="00F978E5"/>
    <w:rsid w:val="00FA03BD"/>
    <w:rsid w:val="00FA0820"/>
    <w:rsid w:val="00FA0B6B"/>
    <w:rsid w:val="00FA2F35"/>
    <w:rsid w:val="00FA363C"/>
    <w:rsid w:val="00FA463B"/>
    <w:rsid w:val="00FA4814"/>
    <w:rsid w:val="00FA54FF"/>
    <w:rsid w:val="00FA578E"/>
    <w:rsid w:val="00FB18DC"/>
    <w:rsid w:val="00FB199E"/>
    <w:rsid w:val="00FB325F"/>
    <w:rsid w:val="00FB3ADB"/>
    <w:rsid w:val="00FB3C60"/>
    <w:rsid w:val="00FB41E5"/>
    <w:rsid w:val="00FB56C0"/>
    <w:rsid w:val="00FB5E34"/>
    <w:rsid w:val="00FB6CEF"/>
    <w:rsid w:val="00FC1876"/>
    <w:rsid w:val="00FC1B55"/>
    <w:rsid w:val="00FC2A1B"/>
    <w:rsid w:val="00FC33FC"/>
    <w:rsid w:val="00FC5F75"/>
    <w:rsid w:val="00FC6CD7"/>
    <w:rsid w:val="00FC6EF3"/>
    <w:rsid w:val="00FC7DB6"/>
    <w:rsid w:val="00FD0173"/>
    <w:rsid w:val="00FD0B0E"/>
    <w:rsid w:val="00FD1A32"/>
    <w:rsid w:val="00FD4052"/>
    <w:rsid w:val="00FD496E"/>
    <w:rsid w:val="00FD4DC5"/>
    <w:rsid w:val="00FD548F"/>
    <w:rsid w:val="00FD5A2E"/>
    <w:rsid w:val="00FD756F"/>
    <w:rsid w:val="00FD763B"/>
    <w:rsid w:val="00FE0634"/>
    <w:rsid w:val="00FE0C5A"/>
    <w:rsid w:val="00FE35D2"/>
    <w:rsid w:val="00FE443D"/>
    <w:rsid w:val="00FE5424"/>
    <w:rsid w:val="00FE59BE"/>
    <w:rsid w:val="00FE694C"/>
    <w:rsid w:val="00FE6C10"/>
    <w:rsid w:val="00FE719B"/>
    <w:rsid w:val="00FF110E"/>
    <w:rsid w:val="00FF1C5F"/>
    <w:rsid w:val="00FF2443"/>
    <w:rsid w:val="00FF29A2"/>
    <w:rsid w:val="00FF30CA"/>
    <w:rsid w:val="00FF3C2C"/>
    <w:rsid w:val="00FF40BD"/>
    <w:rsid w:val="00FF4518"/>
    <w:rsid w:val="00FF4603"/>
    <w:rsid w:val="00FF668F"/>
    <w:rsid w:val="00FF6CA9"/>
    <w:rsid w:val="00FF6ED8"/>
    <w:rsid w:val="00FF7157"/>
    <w:rsid w:val="00FF722C"/>
    <w:rsid w:val="020072D0"/>
    <w:rsid w:val="028BE008"/>
    <w:rsid w:val="02F55C9F"/>
    <w:rsid w:val="03675F81"/>
    <w:rsid w:val="044107CB"/>
    <w:rsid w:val="04CC4E6F"/>
    <w:rsid w:val="051C39AB"/>
    <w:rsid w:val="06002704"/>
    <w:rsid w:val="0602C605"/>
    <w:rsid w:val="06C276CC"/>
    <w:rsid w:val="08784EC3"/>
    <w:rsid w:val="09B14C44"/>
    <w:rsid w:val="09D7FE99"/>
    <w:rsid w:val="0B5B8A5A"/>
    <w:rsid w:val="0E741606"/>
    <w:rsid w:val="0EEB1704"/>
    <w:rsid w:val="0F832278"/>
    <w:rsid w:val="1091B35C"/>
    <w:rsid w:val="10BEB162"/>
    <w:rsid w:val="114CE06E"/>
    <w:rsid w:val="1208BCBE"/>
    <w:rsid w:val="1252AF90"/>
    <w:rsid w:val="127A1A7A"/>
    <w:rsid w:val="1385C2AC"/>
    <w:rsid w:val="13FE429A"/>
    <w:rsid w:val="1438C707"/>
    <w:rsid w:val="147DCD01"/>
    <w:rsid w:val="14BDA066"/>
    <w:rsid w:val="1729C9D9"/>
    <w:rsid w:val="17E250BE"/>
    <w:rsid w:val="188F7938"/>
    <w:rsid w:val="1C71E63E"/>
    <w:rsid w:val="1DE42276"/>
    <w:rsid w:val="1E456169"/>
    <w:rsid w:val="1ED66DDA"/>
    <w:rsid w:val="1F3F058C"/>
    <w:rsid w:val="20F492FC"/>
    <w:rsid w:val="21AEFEC2"/>
    <w:rsid w:val="221FD01F"/>
    <w:rsid w:val="22BBFE9F"/>
    <w:rsid w:val="232EFE57"/>
    <w:rsid w:val="23DB0F96"/>
    <w:rsid w:val="2462849D"/>
    <w:rsid w:val="24A56725"/>
    <w:rsid w:val="25B125D5"/>
    <w:rsid w:val="2650EA39"/>
    <w:rsid w:val="26DA210B"/>
    <w:rsid w:val="2727917D"/>
    <w:rsid w:val="2B4F1A59"/>
    <w:rsid w:val="2CD87A0F"/>
    <w:rsid w:val="2D332444"/>
    <w:rsid w:val="2EF8D7B7"/>
    <w:rsid w:val="2F5CD654"/>
    <w:rsid w:val="2FA9AD0D"/>
    <w:rsid w:val="2FBA9C9E"/>
    <w:rsid w:val="309288A6"/>
    <w:rsid w:val="32A558DD"/>
    <w:rsid w:val="348B2582"/>
    <w:rsid w:val="34A428C9"/>
    <w:rsid w:val="34E73457"/>
    <w:rsid w:val="35AC8A60"/>
    <w:rsid w:val="35F9ED4E"/>
    <w:rsid w:val="37A1BB54"/>
    <w:rsid w:val="3874E080"/>
    <w:rsid w:val="3A57C6D2"/>
    <w:rsid w:val="3B7365B2"/>
    <w:rsid w:val="41257F40"/>
    <w:rsid w:val="432242F6"/>
    <w:rsid w:val="45AE7EE3"/>
    <w:rsid w:val="461259BD"/>
    <w:rsid w:val="46543BC0"/>
    <w:rsid w:val="46DE698C"/>
    <w:rsid w:val="4A362840"/>
    <w:rsid w:val="4B65F6E9"/>
    <w:rsid w:val="4C2AC041"/>
    <w:rsid w:val="4DB47480"/>
    <w:rsid w:val="4EB83E4C"/>
    <w:rsid w:val="4ECE5BE4"/>
    <w:rsid w:val="4F261924"/>
    <w:rsid w:val="4F8A1BB7"/>
    <w:rsid w:val="4FE224EF"/>
    <w:rsid w:val="508EADD1"/>
    <w:rsid w:val="5121F154"/>
    <w:rsid w:val="525BFED1"/>
    <w:rsid w:val="53AFA2D0"/>
    <w:rsid w:val="54B5EEE0"/>
    <w:rsid w:val="54D7B476"/>
    <w:rsid w:val="56622B42"/>
    <w:rsid w:val="567AFA0C"/>
    <w:rsid w:val="5717AC9D"/>
    <w:rsid w:val="597E34B5"/>
    <w:rsid w:val="5A52CB0B"/>
    <w:rsid w:val="5B349631"/>
    <w:rsid w:val="5BFBFF94"/>
    <w:rsid w:val="5C5123EE"/>
    <w:rsid w:val="5CC36A19"/>
    <w:rsid w:val="5DC52C45"/>
    <w:rsid w:val="5E63A854"/>
    <w:rsid w:val="614B05AA"/>
    <w:rsid w:val="62613C82"/>
    <w:rsid w:val="640D97DF"/>
    <w:rsid w:val="6473A70C"/>
    <w:rsid w:val="65977E64"/>
    <w:rsid w:val="663234CC"/>
    <w:rsid w:val="6643373D"/>
    <w:rsid w:val="66579530"/>
    <w:rsid w:val="6666D9F0"/>
    <w:rsid w:val="669F10C4"/>
    <w:rsid w:val="67DA2F6C"/>
    <w:rsid w:val="6880D880"/>
    <w:rsid w:val="698B7DD4"/>
    <w:rsid w:val="69D96F39"/>
    <w:rsid w:val="6AC82326"/>
    <w:rsid w:val="6C0609A7"/>
    <w:rsid w:val="6CCEA812"/>
    <w:rsid w:val="7003BB08"/>
    <w:rsid w:val="70297D6D"/>
    <w:rsid w:val="7133A1D3"/>
    <w:rsid w:val="71AF3839"/>
    <w:rsid w:val="724339B2"/>
    <w:rsid w:val="72A40C27"/>
    <w:rsid w:val="73249192"/>
    <w:rsid w:val="732F084D"/>
    <w:rsid w:val="736E7FB4"/>
    <w:rsid w:val="73B58409"/>
    <w:rsid w:val="77C2EF82"/>
    <w:rsid w:val="77C7694A"/>
    <w:rsid w:val="7A5E2488"/>
    <w:rsid w:val="7B9BBFD0"/>
    <w:rsid w:val="7BF9FE24"/>
    <w:rsid w:val="7C260D73"/>
    <w:rsid w:val="7CB60585"/>
    <w:rsid w:val="7E40FC9C"/>
    <w:rsid w:val="7EF7271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1C28E6"/>
  <w15:docId w15:val="{F97D78B8-C3F4-4FD9-BCFC-B40EEAD23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NZ"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4" w:unhideWhenUsed="1" w:qFormat="1"/>
    <w:lsdException w:name="heading 3" w:semiHidden="1" w:uiPriority="4" w:unhideWhenUsed="1" w:qFormat="1"/>
    <w:lsdException w:name="heading 4" w:semiHidden="1" w:uiPriority="23" w:qFormat="1"/>
    <w:lsdException w:name="heading 5" w:semiHidden="1" w:uiPriority="23" w:unhideWhenUsed="1" w:qFormat="1"/>
    <w:lsdException w:name="heading 6" w:semiHidden="1" w:uiPriority="23" w:qFormat="1"/>
    <w:lsdException w:name="heading 7" w:semiHidden="1" w:uiPriority="23" w:qFormat="1"/>
    <w:lsdException w:name="heading 8" w:semiHidden="1" w:uiPriority="23" w:qFormat="1"/>
    <w:lsdException w:name="heading 9" w:semiHidden="1" w:uiPriority="23"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semiHidden="1" w:uiPriority="2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0" w:qFormat="1"/>
    <w:lsdException w:name="Intense Quote" w:semiHidden="1" w:uiPriority="3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6" w:qFormat="1"/>
    <w:lsdException w:name="Intense Emphasis" w:semiHidden="1" w:uiPriority="28" w:qFormat="1"/>
    <w:lsdException w:name="Subtle Reference" w:semiHidden="1" w:uiPriority="32" w:qFormat="1"/>
    <w:lsdException w:name="Intense Reference" w:semiHidden="1" w:uiPriority="33" w:qFormat="1"/>
    <w:lsdException w:name="Book Title" w:semiHidden="1" w:uiPriority="34" w:qFormat="1"/>
    <w:lsdException w:name="Bibliography" w:semiHidden="1" w:uiPriority="38"/>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05D"/>
    <w:pPr>
      <w:spacing w:after="160" w:line="278" w:lineRule="auto"/>
    </w:pPr>
    <w:rPr>
      <w:kern w:val="2"/>
      <w:sz w:val="24"/>
      <w:szCs w:val="24"/>
      <w:lang w:val="en-GB"/>
      <w14:ligatures w14:val="standardContextual"/>
    </w:rPr>
  </w:style>
  <w:style w:type="paragraph" w:styleId="Heading1">
    <w:name w:val="heading 1"/>
    <w:basedOn w:val="Normal"/>
    <w:next w:val="BodyText"/>
    <w:link w:val="Heading1Char"/>
    <w:uiPriority w:val="4"/>
    <w:qFormat/>
    <w:rsid w:val="00A151C2"/>
    <w:pPr>
      <w:keepNext/>
      <w:keepLines/>
      <w:spacing w:before="240"/>
      <w:outlineLvl w:val="0"/>
    </w:pPr>
    <w:rPr>
      <w:rFonts w:eastAsiaTheme="majorEastAsia" w:cstheme="majorBidi"/>
      <w:b/>
      <w:bCs/>
      <w:color w:val="3F0731" w:themeColor="text2"/>
      <w:sz w:val="28"/>
      <w:szCs w:val="28"/>
    </w:rPr>
  </w:style>
  <w:style w:type="paragraph" w:styleId="Heading2">
    <w:name w:val="heading 2"/>
    <w:basedOn w:val="Normal"/>
    <w:next w:val="BodyText"/>
    <w:link w:val="Heading2Char"/>
    <w:uiPriority w:val="4"/>
    <w:qFormat/>
    <w:rsid w:val="00A151C2"/>
    <w:pPr>
      <w:keepNext/>
      <w:keepLines/>
      <w:spacing w:before="240"/>
      <w:outlineLvl w:val="1"/>
    </w:pPr>
    <w:rPr>
      <w:rFonts w:eastAsiaTheme="majorEastAsia" w:cstheme="majorBidi"/>
      <w:b/>
      <w:bCs/>
      <w:color w:val="3F0731" w:themeColor="text2"/>
      <w:sz w:val="28"/>
      <w:szCs w:val="26"/>
    </w:rPr>
  </w:style>
  <w:style w:type="paragraph" w:styleId="Heading3">
    <w:name w:val="heading 3"/>
    <w:basedOn w:val="Normal"/>
    <w:next w:val="BodyText"/>
    <w:link w:val="Heading3Char"/>
    <w:uiPriority w:val="4"/>
    <w:qFormat/>
    <w:rsid w:val="00A151C2"/>
    <w:pPr>
      <w:keepNext/>
      <w:keepLines/>
      <w:spacing w:before="240"/>
      <w:outlineLvl w:val="2"/>
    </w:pPr>
    <w:rPr>
      <w:rFonts w:eastAsiaTheme="majorEastAsia" w:cstheme="majorBidi"/>
      <w:color w:val="3F0731" w:themeColor="text2"/>
    </w:rPr>
  </w:style>
  <w:style w:type="paragraph" w:styleId="Heading4">
    <w:name w:val="heading 4"/>
    <w:aliases w:val="Heading 4 (table &amp; chart)"/>
    <w:basedOn w:val="Normal"/>
    <w:next w:val="Normal"/>
    <w:link w:val="Heading4Char"/>
    <w:uiPriority w:val="23"/>
    <w:semiHidden/>
    <w:qFormat/>
    <w:rsid w:val="00A151C2"/>
    <w:pPr>
      <w:keepNext/>
      <w:keepLines/>
      <w:numPr>
        <w:ilvl w:val="3"/>
        <w:numId w:val="14"/>
      </w:numPr>
      <w:spacing w:before="120"/>
      <w:outlineLvl w:val="3"/>
    </w:pPr>
    <w:rPr>
      <w:rFonts w:asciiTheme="majorHAnsi" w:eastAsiaTheme="majorEastAsia" w:hAnsiTheme="majorHAnsi" w:cstheme="majorBidi"/>
      <w:b/>
      <w:iCs/>
      <w:color w:val="7A3864" w:themeColor="accent2"/>
    </w:rPr>
  </w:style>
  <w:style w:type="paragraph" w:styleId="Heading5">
    <w:name w:val="heading 5"/>
    <w:basedOn w:val="Normal"/>
    <w:next w:val="Normal"/>
    <w:link w:val="Heading5Char"/>
    <w:uiPriority w:val="23"/>
    <w:semiHidden/>
    <w:qFormat/>
    <w:rsid w:val="00A151C2"/>
    <w:pPr>
      <w:keepNext/>
      <w:keepLines/>
      <w:numPr>
        <w:ilvl w:val="4"/>
        <w:numId w:val="14"/>
      </w:numPr>
      <w:spacing w:before="40" w:after="0"/>
      <w:outlineLvl w:val="4"/>
    </w:pPr>
    <w:rPr>
      <w:rFonts w:asciiTheme="majorHAnsi" w:eastAsiaTheme="majorEastAsia" w:hAnsiTheme="majorHAnsi" w:cstheme="majorBidi"/>
      <w:color w:val="2F0524" w:themeColor="accent1" w:themeShade="BF"/>
    </w:rPr>
  </w:style>
  <w:style w:type="paragraph" w:styleId="Heading6">
    <w:name w:val="heading 6"/>
    <w:basedOn w:val="Normal"/>
    <w:next w:val="Normal"/>
    <w:link w:val="Heading6Char"/>
    <w:uiPriority w:val="23"/>
    <w:semiHidden/>
    <w:qFormat/>
    <w:rsid w:val="00A151C2"/>
    <w:pPr>
      <w:keepNext/>
      <w:keepLines/>
      <w:numPr>
        <w:ilvl w:val="5"/>
        <w:numId w:val="14"/>
      </w:numPr>
      <w:spacing w:before="40" w:after="0"/>
      <w:outlineLvl w:val="5"/>
    </w:pPr>
    <w:rPr>
      <w:rFonts w:asciiTheme="majorHAnsi" w:eastAsiaTheme="majorEastAsia" w:hAnsiTheme="majorHAnsi" w:cstheme="majorBidi"/>
      <w:color w:val="1F0318" w:themeColor="accent1" w:themeShade="7F"/>
    </w:rPr>
  </w:style>
  <w:style w:type="paragraph" w:styleId="Heading7">
    <w:name w:val="heading 7"/>
    <w:basedOn w:val="Normal"/>
    <w:next w:val="Normal"/>
    <w:link w:val="Heading7Char"/>
    <w:uiPriority w:val="23"/>
    <w:semiHidden/>
    <w:qFormat/>
    <w:rsid w:val="00A151C2"/>
    <w:pPr>
      <w:keepNext/>
      <w:keepLines/>
      <w:numPr>
        <w:ilvl w:val="6"/>
        <w:numId w:val="14"/>
      </w:numPr>
      <w:spacing w:before="40" w:after="0"/>
      <w:outlineLvl w:val="6"/>
    </w:pPr>
    <w:rPr>
      <w:rFonts w:asciiTheme="majorHAnsi" w:eastAsiaTheme="majorEastAsia" w:hAnsiTheme="majorHAnsi" w:cstheme="majorBidi"/>
      <w:i/>
      <w:iCs/>
      <w:color w:val="1F0318" w:themeColor="accent1" w:themeShade="7F"/>
    </w:rPr>
  </w:style>
  <w:style w:type="paragraph" w:styleId="Heading8">
    <w:name w:val="heading 8"/>
    <w:basedOn w:val="Normal"/>
    <w:next w:val="Normal"/>
    <w:link w:val="Heading8Char"/>
    <w:uiPriority w:val="23"/>
    <w:semiHidden/>
    <w:qFormat/>
    <w:rsid w:val="00A151C2"/>
    <w:pPr>
      <w:keepNext/>
      <w:keepLines/>
      <w:numPr>
        <w:ilvl w:val="7"/>
        <w:numId w:val="14"/>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23"/>
    <w:semiHidden/>
    <w:qFormat/>
    <w:rsid w:val="00A151C2"/>
    <w:pPr>
      <w:keepNext/>
      <w:keepLines/>
      <w:numPr>
        <w:ilvl w:val="8"/>
        <w:numId w:val="1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6750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05D"/>
  </w:style>
  <w:style w:type="paragraph" w:customStyle="1" w:styleId="TableColumnHeading">
    <w:name w:val="Table Column Heading"/>
    <w:basedOn w:val="BodyText"/>
    <w:uiPriority w:val="7"/>
    <w:qFormat/>
    <w:rsid w:val="00A151C2"/>
    <w:pPr>
      <w:spacing w:before="60" w:after="60"/>
    </w:pPr>
    <w:rPr>
      <w:b/>
      <w:bCs/>
    </w:rPr>
  </w:style>
  <w:style w:type="paragraph" w:styleId="Footer">
    <w:name w:val="footer"/>
    <w:basedOn w:val="Normal"/>
    <w:link w:val="FooterChar"/>
    <w:uiPriority w:val="99"/>
    <w:unhideWhenUsed/>
    <w:rsid w:val="00385BCF"/>
    <w:pPr>
      <w:tabs>
        <w:tab w:val="center" w:pos="4513"/>
        <w:tab w:val="right" w:pos="9026"/>
      </w:tabs>
      <w:spacing w:after="0"/>
    </w:pPr>
  </w:style>
  <w:style w:type="character" w:customStyle="1" w:styleId="FooterChar">
    <w:name w:val="Footer Char"/>
    <w:basedOn w:val="DefaultParagraphFont"/>
    <w:link w:val="Footer"/>
    <w:uiPriority w:val="99"/>
    <w:rsid w:val="00385BCF"/>
    <w:rPr>
      <w:kern w:val="2"/>
      <w:sz w:val="22"/>
      <w:szCs w:val="22"/>
      <w:lang w:val="en-GB"/>
      <w14:ligatures w14:val="standardContextual"/>
    </w:rPr>
  </w:style>
  <w:style w:type="paragraph" w:customStyle="1" w:styleId="TableColumnHeadingRight">
    <w:name w:val="Table Column Heading Right"/>
    <w:basedOn w:val="TableColumnHeading"/>
    <w:uiPriority w:val="7"/>
    <w:qFormat/>
    <w:rsid w:val="00A151C2"/>
    <w:pPr>
      <w:jc w:val="right"/>
    </w:pPr>
  </w:style>
  <w:style w:type="paragraph" w:customStyle="1" w:styleId="PageTitle">
    <w:name w:val="Page Title"/>
    <w:basedOn w:val="Normal"/>
    <w:next w:val="BodyText"/>
    <w:uiPriority w:val="3"/>
    <w:qFormat/>
    <w:rsid w:val="00A151C2"/>
    <w:pPr>
      <w:keepNext/>
      <w:spacing w:before="480"/>
      <w:outlineLvl w:val="0"/>
    </w:pPr>
    <w:rPr>
      <w:b/>
      <w:noProof/>
      <w:color w:val="3F0731" w:themeColor="text2"/>
      <w:sz w:val="32"/>
      <w:szCs w:val="48"/>
    </w:rPr>
  </w:style>
  <w:style w:type="paragraph" w:customStyle="1" w:styleId="TableBodyRight">
    <w:name w:val="Table Body Right"/>
    <w:basedOn w:val="TableBody"/>
    <w:uiPriority w:val="8"/>
    <w:qFormat/>
    <w:rsid w:val="00A151C2"/>
    <w:pPr>
      <w:jc w:val="right"/>
    </w:pPr>
  </w:style>
  <w:style w:type="character" w:customStyle="1" w:styleId="Bold">
    <w:name w:val="Bold"/>
    <w:basedOn w:val="DefaultParagraphFont"/>
    <w:uiPriority w:val="2"/>
    <w:qFormat/>
    <w:rsid w:val="00A151C2"/>
    <w:rPr>
      <w:rFonts w:ascii="Poppins" w:hAnsi="Poppins"/>
      <w:b/>
      <w:i w:val="0"/>
      <w:color w:val="000000" w:themeColor="text1"/>
    </w:rPr>
  </w:style>
  <w:style w:type="paragraph" w:customStyle="1" w:styleId="DocumentTitle">
    <w:name w:val="Document Title"/>
    <w:next w:val="DocumentSubtitle"/>
    <w:uiPriority w:val="26"/>
    <w:rsid w:val="00AB5A91"/>
    <w:pPr>
      <w:framePr w:w="8108" w:wrap="notBeside" w:vAnchor="page" w:hAnchor="page" w:x="710" w:y="2149" w:anchorLock="1"/>
      <w:ind w:right="306"/>
    </w:pPr>
    <w:rPr>
      <w:rFonts w:asciiTheme="majorHAnsi" w:hAnsiTheme="majorHAnsi"/>
      <w:b/>
      <w:bCs/>
      <w:color w:val="000000" w:themeColor="text1"/>
      <w:sz w:val="52"/>
      <w:szCs w:val="22"/>
      <w:lang w:val="en-GB"/>
    </w:rPr>
  </w:style>
  <w:style w:type="paragraph" w:styleId="Header">
    <w:name w:val="header"/>
    <w:basedOn w:val="Normal"/>
    <w:link w:val="HeaderChar"/>
    <w:uiPriority w:val="99"/>
    <w:unhideWhenUsed/>
    <w:rsid w:val="00AB5A91"/>
    <w:pPr>
      <w:spacing w:after="0"/>
      <w:ind w:left="3969"/>
      <w:jc w:val="right"/>
    </w:pPr>
    <w:rPr>
      <w:noProof/>
      <w:sz w:val="18"/>
    </w:rPr>
  </w:style>
  <w:style w:type="paragraph" w:styleId="BalloonText">
    <w:name w:val="Balloon Text"/>
    <w:basedOn w:val="Normal"/>
    <w:link w:val="BalloonTextChar"/>
    <w:uiPriority w:val="99"/>
    <w:semiHidden/>
    <w:unhideWhenUsed/>
    <w:rsid w:val="00AB5A9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5A91"/>
    <w:rPr>
      <w:rFonts w:ascii="Tahoma" w:hAnsi="Tahoma" w:cs="Tahoma"/>
      <w:color w:val="6E6E6E"/>
      <w:sz w:val="16"/>
      <w:szCs w:val="16"/>
      <w:lang w:val="en-GB"/>
    </w:rPr>
  </w:style>
  <w:style w:type="character" w:customStyle="1" w:styleId="HeaderChar">
    <w:name w:val="Header Char"/>
    <w:basedOn w:val="DefaultParagraphFont"/>
    <w:link w:val="Header"/>
    <w:uiPriority w:val="99"/>
    <w:rsid w:val="00AB5A91"/>
    <w:rPr>
      <w:noProof/>
      <w:color w:val="6E6E6E"/>
      <w:sz w:val="18"/>
      <w:lang w:val="en-GB"/>
    </w:rPr>
  </w:style>
  <w:style w:type="character" w:customStyle="1" w:styleId="Heading1Char">
    <w:name w:val="Heading 1 Char"/>
    <w:basedOn w:val="DefaultParagraphFont"/>
    <w:link w:val="Heading1"/>
    <w:uiPriority w:val="4"/>
    <w:rsid w:val="00A151C2"/>
    <w:rPr>
      <w:rFonts w:ascii="Poppins" w:eastAsiaTheme="majorEastAsia" w:hAnsi="Poppins" w:cstheme="majorBidi"/>
      <w:b/>
      <w:bCs/>
      <w:color w:val="3F0731" w:themeColor="text2"/>
      <w:kern w:val="2"/>
      <w:sz w:val="28"/>
      <w:szCs w:val="28"/>
      <w:lang w:val="en-GB"/>
      <w14:ligatures w14:val="standardContextual"/>
    </w:rPr>
  </w:style>
  <w:style w:type="character" w:customStyle="1" w:styleId="Heading2Char">
    <w:name w:val="Heading 2 Char"/>
    <w:basedOn w:val="DefaultParagraphFont"/>
    <w:link w:val="Heading2"/>
    <w:uiPriority w:val="4"/>
    <w:rsid w:val="00A151C2"/>
    <w:rPr>
      <w:rFonts w:ascii="Poppins" w:eastAsiaTheme="majorEastAsia" w:hAnsi="Poppins" w:cstheme="majorBidi"/>
      <w:b/>
      <w:bCs/>
      <w:color w:val="3F0731" w:themeColor="text2"/>
      <w:kern w:val="2"/>
      <w:sz w:val="28"/>
      <w:szCs w:val="26"/>
      <w:lang w:val="en-GB"/>
      <w14:ligatures w14:val="standardContextual"/>
    </w:rPr>
  </w:style>
  <w:style w:type="table" w:styleId="TableGrid">
    <w:name w:val="Table Grid"/>
    <w:basedOn w:val="TableNormal"/>
    <w:uiPriority w:val="59"/>
    <w:rsid w:val="00AB5A9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BodyText"/>
    <w:uiPriority w:val="8"/>
    <w:qFormat/>
    <w:rsid w:val="00A151C2"/>
    <w:pPr>
      <w:spacing w:before="60" w:after="60"/>
    </w:pPr>
    <w:rPr>
      <w:lang w:eastAsia="en-NZ"/>
    </w:rPr>
  </w:style>
  <w:style w:type="paragraph" w:styleId="ListBullet">
    <w:name w:val="List Bullet"/>
    <w:basedOn w:val="Normal"/>
    <w:uiPriority w:val="99"/>
    <w:semiHidden/>
    <w:rsid w:val="00AB5A91"/>
    <w:pPr>
      <w:numPr>
        <w:numId w:val="1"/>
      </w:numPr>
      <w:contextualSpacing/>
    </w:pPr>
  </w:style>
  <w:style w:type="paragraph" w:styleId="ListBullet2">
    <w:name w:val="List Bullet 2"/>
    <w:basedOn w:val="Normal"/>
    <w:uiPriority w:val="99"/>
    <w:semiHidden/>
    <w:rsid w:val="00AB5A91"/>
    <w:pPr>
      <w:numPr>
        <w:numId w:val="2"/>
      </w:numPr>
      <w:contextualSpacing/>
    </w:pPr>
  </w:style>
  <w:style w:type="paragraph" w:styleId="ListBullet3">
    <w:name w:val="List Bullet 3"/>
    <w:basedOn w:val="Normal"/>
    <w:uiPriority w:val="99"/>
    <w:semiHidden/>
    <w:rsid w:val="00AB5A91"/>
    <w:pPr>
      <w:numPr>
        <w:numId w:val="3"/>
      </w:numPr>
      <w:contextualSpacing/>
    </w:pPr>
  </w:style>
  <w:style w:type="paragraph" w:styleId="ListBullet4">
    <w:name w:val="List Bullet 4"/>
    <w:basedOn w:val="Normal"/>
    <w:uiPriority w:val="99"/>
    <w:semiHidden/>
    <w:rsid w:val="00AB5A91"/>
    <w:pPr>
      <w:numPr>
        <w:numId w:val="4"/>
      </w:numPr>
      <w:contextualSpacing/>
    </w:pPr>
  </w:style>
  <w:style w:type="paragraph" w:styleId="ListBullet5">
    <w:name w:val="List Bullet 5"/>
    <w:basedOn w:val="Normal"/>
    <w:uiPriority w:val="99"/>
    <w:semiHidden/>
    <w:rsid w:val="00AB5A91"/>
    <w:pPr>
      <w:numPr>
        <w:numId w:val="5"/>
      </w:numPr>
      <w:contextualSpacing/>
    </w:pPr>
  </w:style>
  <w:style w:type="paragraph" w:styleId="ListNumber">
    <w:name w:val="List Number"/>
    <w:basedOn w:val="Normal"/>
    <w:uiPriority w:val="99"/>
    <w:semiHidden/>
    <w:rsid w:val="00AB5A91"/>
    <w:pPr>
      <w:numPr>
        <w:numId w:val="6"/>
      </w:numPr>
      <w:contextualSpacing/>
    </w:pPr>
  </w:style>
  <w:style w:type="paragraph" w:styleId="ListNumber2">
    <w:name w:val="List Number 2"/>
    <w:basedOn w:val="Normal"/>
    <w:uiPriority w:val="99"/>
    <w:semiHidden/>
    <w:rsid w:val="00AB5A91"/>
    <w:pPr>
      <w:numPr>
        <w:numId w:val="7"/>
      </w:numPr>
      <w:contextualSpacing/>
    </w:pPr>
  </w:style>
  <w:style w:type="paragraph" w:styleId="ListNumber3">
    <w:name w:val="List Number 3"/>
    <w:basedOn w:val="Normal"/>
    <w:uiPriority w:val="99"/>
    <w:semiHidden/>
    <w:rsid w:val="00AB5A91"/>
    <w:pPr>
      <w:numPr>
        <w:numId w:val="8"/>
      </w:numPr>
      <w:contextualSpacing/>
    </w:pPr>
  </w:style>
  <w:style w:type="paragraph" w:styleId="ListNumber4">
    <w:name w:val="List Number 4"/>
    <w:basedOn w:val="Normal"/>
    <w:uiPriority w:val="99"/>
    <w:semiHidden/>
    <w:rsid w:val="00AB5A91"/>
    <w:pPr>
      <w:numPr>
        <w:numId w:val="9"/>
      </w:numPr>
      <w:contextualSpacing/>
    </w:pPr>
  </w:style>
  <w:style w:type="paragraph" w:styleId="ListNumber5">
    <w:name w:val="List Number 5"/>
    <w:basedOn w:val="Normal"/>
    <w:uiPriority w:val="99"/>
    <w:semiHidden/>
    <w:rsid w:val="00AB5A91"/>
    <w:pPr>
      <w:numPr>
        <w:numId w:val="10"/>
      </w:numPr>
      <w:contextualSpacing/>
    </w:pPr>
  </w:style>
  <w:style w:type="paragraph" w:styleId="List">
    <w:name w:val="List"/>
    <w:basedOn w:val="Normal"/>
    <w:uiPriority w:val="99"/>
    <w:semiHidden/>
    <w:rsid w:val="00AB5A91"/>
    <w:pPr>
      <w:ind w:left="283" w:hanging="283"/>
      <w:contextualSpacing/>
    </w:pPr>
  </w:style>
  <w:style w:type="paragraph" w:styleId="List2">
    <w:name w:val="List 2"/>
    <w:basedOn w:val="Normal"/>
    <w:uiPriority w:val="99"/>
    <w:semiHidden/>
    <w:rsid w:val="00AB5A91"/>
    <w:pPr>
      <w:ind w:left="566" w:hanging="283"/>
      <w:contextualSpacing/>
    </w:pPr>
  </w:style>
  <w:style w:type="paragraph" w:styleId="List3">
    <w:name w:val="List 3"/>
    <w:basedOn w:val="Normal"/>
    <w:uiPriority w:val="99"/>
    <w:semiHidden/>
    <w:rsid w:val="00AB5A91"/>
    <w:pPr>
      <w:ind w:left="849" w:hanging="283"/>
      <w:contextualSpacing/>
    </w:pPr>
  </w:style>
  <w:style w:type="paragraph" w:styleId="List4">
    <w:name w:val="List 4"/>
    <w:basedOn w:val="Normal"/>
    <w:uiPriority w:val="99"/>
    <w:semiHidden/>
    <w:rsid w:val="00AB5A91"/>
    <w:pPr>
      <w:ind w:left="1132" w:hanging="283"/>
      <w:contextualSpacing/>
    </w:pPr>
  </w:style>
  <w:style w:type="paragraph" w:styleId="List5">
    <w:name w:val="List 5"/>
    <w:basedOn w:val="Normal"/>
    <w:uiPriority w:val="99"/>
    <w:semiHidden/>
    <w:rsid w:val="00AB5A91"/>
    <w:pPr>
      <w:ind w:left="1415" w:hanging="283"/>
      <w:contextualSpacing/>
    </w:pPr>
  </w:style>
  <w:style w:type="character" w:styleId="CommentReference">
    <w:name w:val="annotation reference"/>
    <w:basedOn w:val="DefaultParagraphFont"/>
    <w:uiPriority w:val="99"/>
    <w:semiHidden/>
    <w:unhideWhenUsed/>
    <w:rsid w:val="00AB5A91"/>
    <w:rPr>
      <w:sz w:val="16"/>
      <w:szCs w:val="16"/>
    </w:rPr>
  </w:style>
  <w:style w:type="paragraph" w:styleId="CommentText">
    <w:name w:val="annotation text"/>
    <w:basedOn w:val="Normal"/>
    <w:link w:val="CommentTextChar"/>
    <w:uiPriority w:val="99"/>
    <w:unhideWhenUsed/>
    <w:rsid w:val="00AB5A91"/>
  </w:style>
  <w:style w:type="character" w:customStyle="1" w:styleId="CommentTextChar">
    <w:name w:val="Comment Text Char"/>
    <w:basedOn w:val="DefaultParagraphFont"/>
    <w:link w:val="CommentText"/>
    <w:uiPriority w:val="99"/>
    <w:rsid w:val="00AB5A91"/>
    <w:rPr>
      <w:color w:val="6E6E6E"/>
      <w:lang w:val="en-GB"/>
    </w:rPr>
  </w:style>
  <w:style w:type="paragraph" w:styleId="CommentSubject">
    <w:name w:val="annotation subject"/>
    <w:basedOn w:val="CommentText"/>
    <w:next w:val="CommentText"/>
    <w:link w:val="CommentSubjectChar"/>
    <w:uiPriority w:val="99"/>
    <w:semiHidden/>
    <w:unhideWhenUsed/>
    <w:rsid w:val="00AB5A91"/>
    <w:rPr>
      <w:b/>
      <w:bCs/>
    </w:rPr>
  </w:style>
  <w:style w:type="character" w:customStyle="1" w:styleId="CommentSubjectChar">
    <w:name w:val="Comment Subject Char"/>
    <w:basedOn w:val="CommentTextChar"/>
    <w:link w:val="CommentSubject"/>
    <w:uiPriority w:val="99"/>
    <w:semiHidden/>
    <w:rsid w:val="00AB5A91"/>
    <w:rPr>
      <w:b/>
      <w:bCs/>
      <w:color w:val="6E6E6E"/>
      <w:lang w:val="en-GB"/>
    </w:rPr>
  </w:style>
  <w:style w:type="character" w:styleId="Emphasis">
    <w:name w:val="Emphasis"/>
    <w:basedOn w:val="DefaultParagraphFont"/>
    <w:uiPriority w:val="27"/>
    <w:qFormat/>
    <w:rsid w:val="00A151C2"/>
    <w:rPr>
      <w:rFonts w:ascii="Poppins" w:hAnsi="Poppins"/>
      <w:i/>
      <w:iCs/>
    </w:rPr>
  </w:style>
  <w:style w:type="paragraph" w:customStyle="1" w:styleId="DocumentSubtitle">
    <w:name w:val="Document Subtitle"/>
    <w:basedOn w:val="DocumentTitle"/>
    <w:next w:val="Normal"/>
    <w:uiPriority w:val="26"/>
    <w:rsid w:val="00AB5A91"/>
    <w:pPr>
      <w:framePr w:w="10490" w:wrap="notBeside"/>
      <w:spacing w:after="60"/>
      <w:ind w:right="0"/>
    </w:pPr>
    <w:rPr>
      <w:rFonts w:asciiTheme="minorHAnsi" w:hAnsiTheme="minorHAnsi"/>
      <w:b w:val="0"/>
      <w:sz w:val="36"/>
    </w:rPr>
  </w:style>
  <w:style w:type="character" w:customStyle="1" w:styleId="Heading3Char">
    <w:name w:val="Heading 3 Char"/>
    <w:basedOn w:val="DefaultParagraphFont"/>
    <w:link w:val="Heading3"/>
    <w:uiPriority w:val="4"/>
    <w:rsid w:val="00A151C2"/>
    <w:rPr>
      <w:rFonts w:ascii="Poppins" w:eastAsiaTheme="majorEastAsia" w:hAnsi="Poppins" w:cstheme="majorBidi"/>
      <w:color w:val="3F0731" w:themeColor="text2"/>
      <w:kern w:val="2"/>
      <w:sz w:val="24"/>
      <w:szCs w:val="24"/>
      <w:lang w:val="en-GB"/>
      <w14:ligatures w14:val="standardContextual"/>
    </w:rPr>
  </w:style>
  <w:style w:type="character" w:customStyle="1" w:styleId="Heading5Char">
    <w:name w:val="Heading 5 Char"/>
    <w:basedOn w:val="DefaultParagraphFont"/>
    <w:link w:val="Heading5"/>
    <w:uiPriority w:val="23"/>
    <w:semiHidden/>
    <w:rsid w:val="00A151C2"/>
    <w:rPr>
      <w:rFonts w:asciiTheme="majorHAnsi" w:eastAsiaTheme="majorEastAsia" w:hAnsiTheme="majorHAnsi" w:cstheme="majorBidi"/>
      <w:color w:val="2F0524" w:themeColor="accent1" w:themeShade="BF"/>
      <w:kern w:val="2"/>
      <w:sz w:val="22"/>
      <w:szCs w:val="22"/>
      <w:lang w:val="en-GB"/>
      <w14:ligatures w14:val="standardContextual"/>
    </w:rPr>
  </w:style>
  <w:style w:type="paragraph" w:customStyle="1" w:styleId="Bullet1">
    <w:name w:val="Bullet 1"/>
    <w:basedOn w:val="BodyText"/>
    <w:uiPriority w:val="1"/>
    <w:qFormat/>
    <w:rsid w:val="00A151C2"/>
    <w:pPr>
      <w:numPr>
        <w:numId w:val="15"/>
      </w:numPr>
    </w:pPr>
  </w:style>
  <w:style w:type="paragraph" w:customStyle="1" w:styleId="Bullet2">
    <w:name w:val="Bullet 2"/>
    <w:basedOn w:val="BodyText"/>
    <w:uiPriority w:val="1"/>
    <w:qFormat/>
    <w:rsid w:val="00A151C2"/>
    <w:pPr>
      <w:numPr>
        <w:numId w:val="16"/>
      </w:numPr>
    </w:pPr>
  </w:style>
  <w:style w:type="paragraph" w:customStyle="1" w:styleId="Bullet3">
    <w:name w:val="Bullet 3"/>
    <w:basedOn w:val="BodyText"/>
    <w:uiPriority w:val="1"/>
    <w:qFormat/>
    <w:rsid w:val="00A151C2"/>
    <w:pPr>
      <w:numPr>
        <w:numId w:val="17"/>
      </w:numPr>
    </w:pPr>
  </w:style>
  <w:style w:type="paragraph" w:customStyle="1" w:styleId="NumberedBullet1">
    <w:name w:val="Numbered Bullet 1"/>
    <w:basedOn w:val="BodyText"/>
    <w:uiPriority w:val="5"/>
    <w:qFormat/>
    <w:rsid w:val="00A151C2"/>
    <w:pPr>
      <w:numPr>
        <w:numId w:val="18"/>
      </w:numPr>
      <w:spacing w:before="60" w:after="60"/>
    </w:pPr>
  </w:style>
  <w:style w:type="paragraph" w:customStyle="1" w:styleId="NumberedBullet2">
    <w:name w:val="Numbered Bullet 2"/>
    <w:basedOn w:val="BodyText"/>
    <w:uiPriority w:val="5"/>
    <w:qFormat/>
    <w:rsid w:val="00A151C2"/>
    <w:pPr>
      <w:numPr>
        <w:ilvl w:val="1"/>
        <w:numId w:val="18"/>
      </w:numPr>
      <w:tabs>
        <w:tab w:val="left" w:pos="709"/>
      </w:tabs>
    </w:pPr>
  </w:style>
  <w:style w:type="paragraph" w:customStyle="1" w:styleId="NumberedBullet3">
    <w:name w:val="Numbered Bullet 3"/>
    <w:basedOn w:val="BodyText"/>
    <w:uiPriority w:val="5"/>
    <w:qFormat/>
    <w:rsid w:val="00A151C2"/>
    <w:pPr>
      <w:numPr>
        <w:ilvl w:val="2"/>
        <w:numId w:val="18"/>
      </w:numPr>
      <w:tabs>
        <w:tab w:val="left" w:pos="1276"/>
      </w:tabs>
    </w:pPr>
  </w:style>
  <w:style w:type="numbering" w:customStyle="1" w:styleId="NumberedBulletsList">
    <w:name w:val="Numbered Bullets List"/>
    <w:uiPriority w:val="99"/>
    <w:rsid w:val="00AB5A91"/>
    <w:pPr>
      <w:numPr>
        <w:numId w:val="11"/>
      </w:numPr>
    </w:pPr>
  </w:style>
  <w:style w:type="paragraph" w:customStyle="1" w:styleId="Indent1">
    <w:name w:val="Indent 1"/>
    <w:basedOn w:val="BodyText"/>
    <w:uiPriority w:val="6"/>
    <w:semiHidden/>
    <w:unhideWhenUsed/>
    <w:qFormat/>
    <w:rsid w:val="00A151C2"/>
    <w:pPr>
      <w:ind w:left="284"/>
    </w:pPr>
  </w:style>
  <w:style w:type="paragraph" w:customStyle="1" w:styleId="Indent2">
    <w:name w:val="Indent 2"/>
    <w:basedOn w:val="BodyText"/>
    <w:uiPriority w:val="6"/>
    <w:semiHidden/>
    <w:unhideWhenUsed/>
    <w:qFormat/>
    <w:rsid w:val="00A151C2"/>
    <w:pPr>
      <w:ind w:left="567"/>
    </w:pPr>
  </w:style>
  <w:style w:type="paragraph" w:customStyle="1" w:styleId="Indent3">
    <w:name w:val="Indent 3"/>
    <w:basedOn w:val="BodyText"/>
    <w:uiPriority w:val="6"/>
    <w:semiHidden/>
    <w:unhideWhenUsed/>
    <w:qFormat/>
    <w:rsid w:val="00A151C2"/>
    <w:pPr>
      <w:ind w:left="851"/>
    </w:pPr>
  </w:style>
  <w:style w:type="paragraph" w:customStyle="1" w:styleId="ShadedHeading">
    <w:name w:val="Shaded Heading"/>
    <w:basedOn w:val="BodyText"/>
    <w:next w:val="ShadedBody"/>
    <w:uiPriority w:val="10"/>
    <w:rsid w:val="00AB5A91"/>
    <w:pPr>
      <w:keepNext/>
      <w:keepLines/>
      <w:pBdr>
        <w:top w:val="single" w:sz="2" w:space="2" w:color="3F0731" w:themeColor="accent1"/>
        <w:left w:val="single" w:sz="2" w:space="4" w:color="3F0731" w:themeColor="accent1"/>
        <w:bottom w:val="single" w:sz="2" w:space="2" w:color="3F0731" w:themeColor="accent1"/>
        <w:right w:val="single" w:sz="2" w:space="4" w:color="3F0731" w:themeColor="accent1"/>
      </w:pBdr>
      <w:shd w:val="clear" w:color="auto" w:fill="3F0731" w:themeFill="accent1"/>
      <w:spacing w:before="240"/>
      <w:ind w:left="113" w:right="113"/>
    </w:pPr>
    <w:rPr>
      <w:sz w:val="28"/>
    </w:rPr>
  </w:style>
  <w:style w:type="character" w:styleId="PlaceholderText">
    <w:name w:val="Placeholder Text"/>
    <w:basedOn w:val="DefaultParagraphFont"/>
    <w:uiPriority w:val="99"/>
    <w:semiHidden/>
    <w:rsid w:val="00AB5A91"/>
    <w:rPr>
      <w:color w:val="808080"/>
    </w:rPr>
  </w:style>
  <w:style w:type="paragraph" w:customStyle="1" w:styleId="Authors">
    <w:name w:val="Authors"/>
    <w:basedOn w:val="Footer"/>
    <w:link w:val="AuthorsChar"/>
    <w:uiPriority w:val="99"/>
    <w:rsid w:val="00AB5A91"/>
    <w:pPr>
      <w:spacing w:before="60" w:after="60"/>
    </w:pPr>
  </w:style>
  <w:style w:type="character" w:customStyle="1" w:styleId="Heading4Char">
    <w:name w:val="Heading 4 Char"/>
    <w:aliases w:val="Heading 4 (table &amp; chart) Char"/>
    <w:basedOn w:val="DefaultParagraphFont"/>
    <w:link w:val="Heading4"/>
    <w:uiPriority w:val="23"/>
    <w:semiHidden/>
    <w:rsid w:val="00A151C2"/>
    <w:rPr>
      <w:rFonts w:asciiTheme="majorHAnsi" w:eastAsiaTheme="majorEastAsia" w:hAnsiTheme="majorHAnsi" w:cstheme="majorBidi"/>
      <w:b/>
      <w:iCs/>
      <w:color w:val="7A3864" w:themeColor="accent2"/>
      <w:kern w:val="2"/>
      <w:sz w:val="22"/>
      <w:szCs w:val="22"/>
      <w:lang w:val="en-GB"/>
      <w14:ligatures w14:val="standardContextual"/>
    </w:rPr>
  </w:style>
  <w:style w:type="character" w:customStyle="1" w:styleId="Heading6Char">
    <w:name w:val="Heading 6 Char"/>
    <w:basedOn w:val="DefaultParagraphFont"/>
    <w:link w:val="Heading6"/>
    <w:uiPriority w:val="23"/>
    <w:semiHidden/>
    <w:rsid w:val="00A151C2"/>
    <w:rPr>
      <w:rFonts w:asciiTheme="majorHAnsi" w:eastAsiaTheme="majorEastAsia" w:hAnsiTheme="majorHAnsi" w:cstheme="majorBidi"/>
      <w:color w:val="1F0318" w:themeColor="accent1" w:themeShade="7F"/>
      <w:kern w:val="2"/>
      <w:sz w:val="22"/>
      <w:szCs w:val="22"/>
      <w:lang w:val="en-GB"/>
      <w14:ligatures w14:val="standardContextual"/>
    </w:rPr>
  </w:style>
  <w:style w:type="character" w:customStyle="1" w:styleId="Heading7Char">
    <w:name w:val="Heading 7 Char"/>
    <w:basedOn w:val="DefaultParagraphFont"/>
    <w:link w:val="Heading7"/>
    <w:uiPriority w:val="23"/>
    <w:semiHidden/>
    <w:rsid w:val="00A151C2"/>
    <w:rPr>
      <w:rFonts w:asciiTheme="majorHAnsi" w:eastAsiaTheme="majorEastAsia" w:hAnsiTheme="majorHAnsi" w:cstheme="majorBidi"/>
      <w:i/>
      <w:iCs/>
      <w:color w:val="1F0318" w:themeColor="accent1" w:themeShade="7F"/>
      <w:kern w:val="2"/>
      <w:sz w:val="22"/>
      <w:szCs w:val="22"/>
      <w:lang w:val="en-GB"/>
      <w14:ligatures w14:val="standardContextual"/>
    </w:rPr>
  </w:style>
  <w:style w:type="character" w:customStyle="1" w:styleId="Heading8Char">
    <w:name w:val="Heading 8 Char"/>
    <w:basedOn w:val="DefaultParagraphFont"/>
    <w:link w:val="Heading8"/>
    <w:uiPriority w:val="23"/>
    <w:semiHidden/>
    <w:rsid w:val="00A151C2"/>
    <w:rPr>
      <w:rFonts w:asciiTheme="majorHAnsi" w:eastAsiaTheme="majorEastAsia" w:hAnsiTheme="majorHAnsi" w:cstheme="majorBidi"/>
      <w:color w:val="272727" w:themeColor="text1" w:themeTint="D8"/>
      <w:kern w:val="2"/>
      <w:sz w:val="21"/>
      <w:szCs w:val="21"/>
      <w:lang w:val="en-GB"/>
      <w14:ligatures w14:val="standardContextual"/>
    </w:rPr>
  </w:style>
  <w:style w:type="character" w:customStyle="1" w:styleId="Heading9Char">
    <w:name w:val="Heading 9 Char"/>
    <w:basedOn w:val="DefaultParagraphFont"/>
    <w:link w:val="Heading9"/>
    <w:uiPriority w:val="23"/>
    <w:semiHidden/>
    <w:rsid w:val="00A151C2"/>
    <w:rPr>
      <w:rFonts w:asciiTheme="majorHAnsi" w:eastAsiaTheme="majorEastAsia" w:hAnsiTheme="majorHAnsi" w:cstheme="majorBidi"/>
      <w:i/>
      <w:iCs/>
      <w:color w:val="272727" w:themeColor="text1" w:themeTint="D8"/>
      <w:kern w:val="2"/>
      <w:sz w:val="21"/>
      <w:szCs w:val="21"/>
      <w:lang w:val="en-GB"/>
      <w14:ligatures w14:val="standardContextual"/>
    </w:rPr>
  </w:style>
  <w:style w:type="paragraph" w:styleId="Title">
    <w:name w:val="Title"/>
    <w:basedOn w:val="Normal"/>
    <w:next w:val="Normal"/>
    <w:link w:val="TitleChar"/>
    <w:uiPriority w:val="25"/>
    <w:qFormat/>
    <w:rsid w:val="00A151C2"/>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25"/>
    <w:rsid w:val="00A151C2"/>
    <w:rPr>
      <w:rFonts w:ascii="Poppins" w:eastAsiaTheme="majorEastAsia" w:hAnsi="Poppins" w:cstheme="majorBidi"/>
      <w:spacing w:val="-10"/>
      <w:kern w:val="28"/>
      <w:sz w:val="56"/>
      <w:szCs w:val="56"/>
      <w:lang w:val="en-GB"/>
      <w14:ligatures w14:val="standardContextual"/>
    </w:rPr>
  </w:style>
  <w:style w:type="paragraph" w:customStyle="1" w:styleId="TableRowHeading">
    <w:name w:val="Table Row Heading"/>
    <w:basedOn w:val="TableBody"/>
    <w:uiPriority w:val="7"/>
    <w:qFormat/>
    <w:rsid w:val="00A151C2"/>
    <w:rPr>
      <w:b/>
    </w:rPr>
  </w:style>
  <w:style w:type="character" w:customStyle="1" w:styleId="HighlightAccent4">
    <w:name w:val="Highlight Accent 4"/>
    <w:basedOn w:val="DefaultParagraphFont"/>
    <w:uiPriority w:val="9"/>
    <w:qFormat/>
    <w:rsid w:val="00A151C2"/>
    <w:rPr>
      <w:rFonts w:ascii="Poppins" w:hAnsi="Poppins"/>
      <w:color w:val="000000" w:themeColor="text1"/>
      <w:bdr w:val="none" w:sz="0" w:space="0" w:color="auto"/>
      <w:shd w:val="clear" w:color="auto" w:fill="AEE07E" w:themeFill="accent5" w:themeFillTint="66"/>
    </w:rPr>
  </w:style>
  <w:style w:type="character" w:customStyle="1" w:styleId="HighlightAccent1">
    <w:name w:val="Highlight Accent 1"/>
    <w:basedOn w:val="DefaultParagraphFont"/>
    <w:uiPriority w:val="9"/>
    <w:qFormat/>
    <w:rsid w:val="00A151C2"/>
    <w:rPr>
      <w:rFonts w:ascii="Poppins" w:hAnsi="Poppins"/>
      <w:color w:val="000000" w:themeColor="text1"/>
      <w:bdr w:val="none" w:sz="0" w:space="0" w:color="auto"/>
      <w:shd w:val="clear" w:color="auto" w:fill="ED60CA" w:themeFill="accent1" w:themeFillTint="66"/>
    </w:rPr>
  </w:style>
  <w:style w:type="character" w:customStyle="1" w:styleId="HighlightAccent3">
    <w:name w:val="Highlight Accent 3"/>
    <w:basedOn w:val="DefaultParagraphFont"/>
    <w:uiPriority w:val="9"/>
    <w:qFormat/>
    <w:rsid w:val="00A151C2"/>
    <w:rPr>
      <w:rFonts w:ascii="Poppins" w:hAnsi="Poppins"/>
      <w:color w:val="000000" w:themeColor="text1"/>
      <w:bdr w:val="none" w:sz="0" w:space="0" w:color="auto"/>
      <w:shd w:val="clear" w:color="auto" w:fill="E8A4A1" w:themeFill="accent6" w:themeFillTint="66"/>
    </w:rPr>
  </w:style>
  <w:style w:type="table" w:customStyle="1" w:styleId="NESO">
    <w:name w:val="NESO"/>
    <w:basedOn w:val="TableNormal"/>
    <w:uiPriority w:val="99"/>
    <w:rsid w:val="00385BCF"/>
    <w:pPr>
      <w:spacing w:before="60" w:after="60"/>
    </w:pPr>
    <w:tblPr>
      <w:tblBorders>
        <w:top w:val="single" w:sz="4" w:space="0" w:color="FF00FF"/>
        <w:bottom w:val="single" w:sz="4" w:space="0" w:color="FF00FF"/>
      </w:tblBorders>
      <w:tblCellMar>
        <w:top w:w="28" w:type="dxa"/>
        <w:left w:w="57" w:type="dxa"/>
        <w:bottom w:w="28" w:type="dxa"/>
        <w:right w:w="57" w:type="dxa"/>
      </w:tblCellMar>
    </w:tblPr>
    <w:tcPr>
      <w:shd w:val="clear" w:color="auto" w:fill="auto"/>
    </w:tcPr>
    <w:tblStylePr w:type="firstRow">
      <w:tblPr/>
      <w:tcPr>
        <w:tcBorders>
          <w:top w:val="single" w:sz="4" w:space="0" w:color="3F0731" w:themeColor="accent1"/>
          <w:left w:val="nil"/>
          <w:bottom w:val="single" w:sz="8" w:space="0" w:color="3F0731" w:themeColor="accent1"/>
          <w:right w:val="nil"/>
          <w:insideH w:val="nil"/>
          <w:insideV w:val="nil"/>
          <w:tl2br w:val="nil"/>
          <w:tr2bl w:val="nil"/>
        </w:tcBorders>
        <w:shd w:val="clear" w:color="auto" w:fill="FFFFFF" w:themeFill="background1"/>
      </w:tcPr>
    </w:tblStylePr>
    <w:tblStylePr w:type="lastRow">
      <w:tblPr/>
      <w:tcPr>
        <w:tcBorders>
          <w:top w:val="single" w:sz="4" w:space="0" w:color="3F0731" w:themeColor="accent1"/>
          <w:bottom w:val="single" w:sz="4" w:space="0" w:color="3F0731" w:themeColor="accent1"/>
        </w:tcBorders>
        <w:shd w:val="clear" w:color="auto" w:fill="auto"/>
      </w:tcPr>
    </w:tblStylePr>
  </w:style>
  <w:style w:type="character" w:styleId="Hyperlink">
    <w:name w:val="Hyperlink"/>
    <w:basedOn w:val="DefaultParagraphFont"/>
    <w:uiPriority w:val="99"/>
    <w:unhideWhenUsed/>
    <w:rsid w:val="00AB5A91"/>
    <w:rPr>
      <w:color w:val="000000" w:themeColor="text1"/>
      <w:u w:val="single"/>
    </w:rPr>
  </w:style>
  <w:style w:type="paragraph" w:styleId="ListParagraph">
    <w:name w:val="List Paragraph"/>
    <w:basedOn w:val="Normal"/>
    <w:uiPriority w:val="35"/>
    <w:qFormat/>
    <w:rsid w:val="00A151C2"/>
    <w:pPr>
      <w:ind w:left="720"/>
      <w:contextualSpacing/>
    </w:pPr>
  </w:style>
  <w:style w:type="paragraph" w:customStyle="1" w:styleId="Heading1Numbered">
    <w:name w:val="Heading 1 Numbered"/>
    <w:basedOn w:val="Heading1"/>
    <w:next w:val="BodyText"/>
    <w:uiPriority w:val="4"/>
    <w:qFormat/>
    <w:rsid w:val="00A151C2"/>
    <w:pPr>
      <w:numPr>
        <w:numId w:val="19"/>
      </w:numPr>
    </w:pPr>
  </w:style>
  <w:style w:type="character" w:customStyle="1" w:styleId="HighlightAccent2">
    <w:name w:val="Highlight Accent 2"/>
    <w:basedOn w:val="DefaultParagraphFont"/>
    <w:uiPriority w:val="9"/>
    <w:qFormat/>
    <w:rsid w:val="00A151C2"/>
    <w:rPr>
      <w:rFonts w:ascii="Poppins" w:hAnsi="Poppins"/>
      <w:color w:val="000000" w:themeColor="text1"/>
      <w:bdr w:val="none" w:sz="0" w:space="0" w:color="auto"/>
      <w:shd w:val="clear" w:color="auto" w:fill="D5A3C4" w:themeFill="accent2" w:themeFillTint="66"/>
    </w:rPr>
  </w:style>
  <w:style w:type="character" w:customStyle="1" w:styleId="BoldItalic">
    <w:name w:val="Bold Italic"/>
    <w:basedOn w:val="DefaultParagraphFont"/>
    <w:uiPriority w:val="2"/>
    <w:rsid w:val="00AB5A91"/>
    <w:rPr>
      <w:b/>
      <w:i/>
    </w:rPr>
  </w:style>
  <w:style w:type="paragraph" w:styleId="NoSpacing">
    <w:name w:val="No Spacing"/>
    <w:next w:val="BodyText"/>
    <w:rsid w:val="00AB5A91"/>
    <w:pPr>
      <w:spacing w:after="0"/>
    </w:pPr>
    <w:rPr>
      <w:sz w:val="18"/>
      <w:lang w:val="en-GB"/>
    </w:rPr>
  </w:style>
  <w:style w:type="paragraph" w:styleId="TOC2">
    <w:name w:val="toc 2"/>
    <w:basedOn w:val="Normal"/>
    <w:next w:val="Normal"/>
    <w:autoRedefine/>
    <w:uiPriority w:val="39"/>
    <w:rsid w:val="00B532FD"/>
    <w:pPr>
      <w:tabs>
        <w:tab w:val="right" w:leader="dot" w:pos="10194"/>
      </w:tabs>
      <w:spacing w:before="60" w:after="60"/>
    </w:pPr>
    <w:rPr>
      <w:noProof/>
    </w:rPr>
  </w:style>
  <w:style w:type="paragraph" w:styleId="TOC1">
    <w:name w:val="toc 1"/>
    <w:basedOn w:val="Normal"/>
    <w:next w:val="Normal"/>
    <w:autoRedefine/>
    <w:uiPriority w:val="39"/>
    <w:rsid w:val="00385BCF"/>
    <w:pPr>
      <w:tabs>
        <w:tab w:val="right" w:leader="dot" w:pos="10194"/>
      </w:tabs>
      <w:spacing w:before="240" w:after="0"/>
    </w:pPr>
    <w:rPr>
      <w:rFonts w:cstheme="minorHAnsi"/>
      <w:noProof/>
      <w:color w:val="3F0731" w:themeColor="text2"/>
    </w:rPr>
  </w:style>
  <w:style w:type="paragraph" w:customStyle="1" w:styleId="Contents">
    <w:name w:val="Contents"/>
    <w:basedOn w:val="PageTitle"/>
    <w:next w:val="BodyText"/>
    <w:uiPriority w:val="99"/>
    <w:unhideWhenUsed/>
    <w:rsid w:val="00AB5A91"/>
    <w:pPr>
      <w:framePr w:wrap="notBeside" w:hAnchor="text" w:y="710"/>
    </w:pPr>
  </w:style>
  <w:style w:type="paragraph" w:customStyle="1" w:styleId="Dateofpapers">
    <w:name w:val="Date of papers"/>
    <w:basedOn w:val="Footer"/>
    <w:link w:val="DateofpapersChar"/>
    <w:uiPriority w:val="99"/>
    <w:rsid w:val="00AB5A91"/>
    <w:pPr>
      <w:spacing w:before="60" w:after="60"/>
    </w:pPr>
  </w:style>
  <w:style w:type="paragraph" w:customStyle="1" w:styleId="Introtext">
    <w:name w:val="Intro text"/>
    <w:basedOn w:val="Normal"/>
    <w:uiPriority w:val="99"/>
    <w:qFormat/>
    <w:rsid w:val="00A151C2"/>
    <w:rPr>
      <w:color w:val="3F0731" w:themeColor="text2"/>
    </w:rPr>
  </w:style>
  <w:style w:type="paragraph" w:customStyle="1" w:styleId="FrameBody">
    <w:name w:val="Frame Body"/>
    <w:basedOn w:val="FrameHeading"/>
    <w:uiPriority w:val="13"/>
    <w:rsid w:val="00AB5A91"/>
    <w:pPr>
      <w:framePr w:wrap="around"/>
    </w:pPr>
    <w:rPr>
      <w:b w:val="0"/>
      <w:sz w:val="20"/>
    </w:rPr>
  </w:style>
  <w:style w:type="paragraph" w:styleId="BodyText">
    <w:name w:val="Body Text"/>
    <w:link w:val="BodyTextChar"/>
    <w:qFormat/>
    <w:rsid w:val="00A151C2"/>
    <w:rPr>
      <w:rFonts w:ascii="Poppins" w:hAnsi="Poppins"/>
      <w:color w:val="000000" w:themeColor="text1"/>
      <w:lang w:val="en-GB"/>
    </w:rPr>
  </w:style>
  <w:style w:type="character" w:customStyle="1" w:styleId="BodyTextChar">
    <w:name w:val="Body Text Char"/>
    <w:basedOn w:val="DefaultParagraphFont"/>
    <w:link w:val="BodyText"/>
    <w:rsid w:val="00A151C2"/>
    <w:rPr>
      <w:rFonts w:ascii="Poppins" w:hAnsi="Poppins"/>
      <w:color w:val="000000" w:themeColor="text1"/>
      <w:lang w:val="en-GB"/>
    </w:rPr>
  </w:style>
  <w:style w:type="numbering" w:customStyle="1" w:styleId="Bullets">
    <w:name w:val="Bullets"/>
    <w:uiPriority w:val="99"/>
    <w:rsid w:val="00AB5A91"/>
    <w:pPr>
      <w:numPr>
        <w:numId w:val="12"/>
      </w:numPr>
    </w:pPr>
  </w:style>
  <w:style w:type="paragraph" w:customStyle="1" w:styleId="TableTitle">
    <w:name w:val="Table Title"/>
    <w:basedOn w:val="BodyText"/>
    <w:next w:val="BodyText"/>
    <w:uiPriority w:val="6"/>
    <w:qFormat/>
    <w:rsid w:val="00A151C2"/>
    <w:pPr>
      <w:keepNext/>
      <w:keepLines/>
      <w:spacing w:before="120"/>
    </w:pPr>
    <w:rPr>
      <w:rFonts w:cstheme="majorHAnsi"/>
      <w:b/>
      <w:color w:val="3F0731" w:themeColor="text2"/>
    </w:rPr>
  </w:style>
  <w:style w:type="paragraph" w:customStyle="1" w:styleId="ShadedBody">
    <w:name w:val="Shaded Body"/>
    <w:basedOn w:val="ShadedHeading"/>
    <w:uiPriority w:val="11"/>
    <w:rsid w:val="00AB5A91"/>
    <w:pPr>
      <w:keepNext w:val="0"/>
      <w:spacing w:before="0"/>
    </w:pPr>
    <w:rPr>
      <w:sz w:val="20"/>
    </w:rPr>
  </w:style>
  <w:style w:type="paragraph" w:customStyle="1" w:styleId="FrameHeading">
    <w:name w:val="Frame Heading"/>
    <w:basedOn w:val="BodyText"/>
    <w:next w:val="FrameBody"/>
    <w:uiPriority w:val="12"/>
    <w:rsid w:val="00AB5A91"/>
    <w:pPr>
      <w:keepNext/>
      <w:keepLines/>
      <w:framePr w:w="2268" w:hSpace="170" w:wrap="around" w:vAnchor="text" w:hAnchor="page" w:x="8841" w:y="1"/>
      <w:pBdr>
        <w:top w:val="single" w:sz="8" w:space="2" w:color="3F0731" w:themeColor="accent1"/>
        <w:left w:val="single" w:sz="8" w:space="3" w:color="3F0731" w:themeColor="accent1"/>
        <w:bottom w:val="single" w:sz="8" w:space="2" w:color="3F0731" w:themeColor="accent1"/>
        <w:right w:val="single" w:sz="8" w:space="3" w:color="3F0731" w:themeColor="accent1"/>
      </w:pBdr>
      <w:shd w:val="clear" w:color="auto" w:fill="3F0731" w:themeFill="accent1"/>
    </w:pPr>
    <w:rPr>
      <w:b/>
      <w:sz w:val="24"/>
    </w:rPr>
  </w:style>
  <w:style w:type="character" w:customStyle="1" w:styleId="AuthorsChar">
    <w:name w:val="Authors Char"/>
    <w:basedOn w:val="FooterChar"/>
    <w:link w:val="Authors"/>
    <w:uiPriority w:val="99"/>
    <w:rsid w:val="00AB5A91"/>
    <w:rPr>
      <w:noProof/>
      <w:color w:val="6E6E6E"/>
      <w:kern w:val="2"/>
      <w:sz w:val="18"/>
      <w:szCs w:val="22"/>
      <w:lang w:val="en-GB"/>
      <w14:ligatures w14:val="standardContextual"/>
    </w:rPr>
  </w:style>
  <w:style w:type="character" w:customStyle="1" w:styleId="DateofpapersChar">
    <w:name w:val="Date of papers Char"/>
    <w:basedOn w:val="FooterChar"/>
    <w:link w:val="Dateofpapers"/>
    <w:uiPriority w:val="99"/>
    <w:rsid w:val="00AB5A91"/>
    <w:rPr>
      <w:noProof/>
      <w:color w:val="6E6E6E"/>
      <w:kern w:val="2"/>
      <w:sz w:val="18"/>
      <w:szCs w:val="22"/>
      <w:lang w:val="en-GB"/>
      <w14:ligatures w14:val="standardContextual"/>
    </w:rPr>
  </w:style>
  <w:style w:type="paragraph" w:customStyle="1" w:styleId="CVName">
    <w:name w:val="CV Name"/>
    <w:basedOn w:val="BodyText"/>
    <w:uiPriority w:val="99"/>
    <w:qFormat/>
    <w:rsid w:val="00A151C2"/>
    <w:pPr>
      <w:spacing w:before="60" w:after="0"/>
    </w:pPr>
    <w:rPr>
      <w:b/>
      <w:bCs/>
      <w:color w:val="3F0731" w:themeColor="text2"/>
      <w:sz w:val="22"/>
    </w:rPr>
  </w:style>
  <w:style w:type="paragraph" w:customStyle="1" w:styleId="CVlocation">
    <w:name w:val="CV location"/>
    <w:basedOn w:val="BodyText"/>
    <w:uiPriority w:val="99"/>
    <w:rsid w:val="00AB5A91"/>
    <w:pPr>
      <w:spacing w:after="0"/>
    </w:pPr>
    <w:rPr>
      <w:sz w:val="18"/>
    </w:rPr>
  </w:style>
  <w:style w:type="paragraph" w:customStyle="1" w:styleId="CVTitle">
    <w:name w:val="CV Title"/>
    <w:basedOn w:val="BodyText"/>
    <w:uiPriority w:val="99"/>
    <w:qFormat/>
    <w:rsid w:val="00A151C2"/>
    <w:pPr>
      <w:spacing w:after="0"/>
    </w:pPr>
  </w:style>
  <w:style w:type="paragraph" w:customStyle="1" w:styleId="Backcoverdisclaimer">
    <w:name w:val="Back cover disclaimer"/>
    <w:basedOn w:val="Footer"/>
    <w:uiPriority w:val="99"/>
    <w:qFormat/>
    <w:rsid w:val="00A151C2"/>
    <w:pPr>
      <w:tabs>
        <w:tab w:val="clear" w:pos="4513"/>
        <w:tab w:val="clear" w:pos="9026"/>
      </w:tabs>
      <w:spacing w:after="160"/>
    </w:pPr>
    <w:rPr>
      <w:noProof/>
      <w:sz w:val="18"/>
    </w:rPr>
  </w:style>
  <w:style w:type="paragraph" w:customStyle="1" w:styleId="Disclaimertext">
    <w:name w:val="Disclaimer text"/>
    <w:basedOn w:val="Backcoverdisclaimer"/>
    <w:uiPriority w:val="99"/>
    <w:rsid w:val="00AB5A91"/>
  </w:style>
  <w:style w:type="paragraph" w:customStyle="1" w:styleId="SourceNotes">
    <w:name w:val="Source &amp; Notes"/>
    <w:basedOn w:val="BodyText"/>
    <w:uiPriority w:val="99"/>
    <w:qFormat/>
    <w:rsid w:val="00A151C2"/>
    <w:pPr>
      <w:tabs>
        <w:tab w:val="left" w:pos="709"/>
      </w:tabs>
      <w:contextualSpacing/>
    </w:pPr>
    <w:rPr>
      <w:sz w:val="16"/>
    </w:rPr>
  </w:style>
  <w:style w:type="character" w:styleId="UnresolvedMention">
    <w:name w:val="Unresolved Mention"/>
    <w:basedOn w:val="DefaultParagraphFont"/>
    <w:uiPriority w:val="99"/>
    <w:semiHidden/>
    <w:unhideWhenUsed/>
    <w:rsid w:val="00AB5A91"/>
    <w:rPr>
      <w:color w:val="605E5C"/>
      <w:shd w:val="clear" w:color="auto" w:fill="E1DFDD"/>
    </w:rPr>
  </w:style>
  <w:style w:type="character" w:styleId="FollowedHyperlink">
    <w:name w:val="FollowedHyperlink"/>
    <w:basedOn w:val="DefaultParagraphFont"/>
    <w:uiPriority w:val="99"/>
    <w:semiHidden/>
    <w:unhideWhenUsed/>
    <w:rsid w:val="00AB5A91"/>
    <w:rPr>
      <w:color w:val="3F87AA" w:themeColor="followedHyperlink"/>
      <w:u w:val="single"/>
    </w:rPr>
  </w:style>
  <w:style w:type="paragraph" w:customStyle="1" w:styleId="SectionHeading">
    <w:name w:val="Section Heading"/>
    <w:basedOn w:val="DocumentTitle"/>
    <w:uiPriority w:val="99"/>
    <w:rsid w:val="00AB5A91"/>
    <w:pPr>
      <w:framePr w:w="10038" w:wrap="notBeside" w:x="1140" w:y="13885"/>
      <w:ind w:left="1080" w:hanging="720"/>
    </w:pPr>
    <w:rPr>
      <w:color w:val="D43900"/>
      <w:sz w:val="56"/>
      <w:szCs w:val="24"/>
    </w:rPr>
  </w:style>
  <w:style w:type="paragraph" w:customStyle="1" w:styleId="SectionHeader">
    <w:name w:val="Section Header"/>
    <w:basedOn w:val="Normal"/>
    <w:uiPriority w:val="99"/>
    <w:qFormat/>
    <w:rsid w:val="00A151C2"/>
    <w:pPr>
      <w:framePr w:w="10038" w:wrap="notBeside" w:vAnchor="page" w:hAnchor="page" w:x="397" w:y="14053" w:anchorLock="1"/>
      <w:numPr>
        <w:numId w:val="20"/>
      </w:numPr>
      <w:spacing w:after="120" w:line="240" w:lineRule="auto"/>
      <w:ind w:right="306"/>
    </w:pPr>
    <w:rPr>
      <w:b/>
      <w:bCs/>
      <w:color w:val="000000" w:themeColor="text1"/>
      <w:kern w:val="0"/>
      <w:sz w:val="56"/>
      <w14:ligatures w14:val="none"/>
    </w:rPr>
  </w:style>
  <w:style w:type="paragraph" w:customStyle="1" w:styleId="SectionSubtitle">
    <w:name w:val="Section Subtitle"/>
    <w:basedOn w:val="Normal"/>
    <w:uiPriority w:val="99"/>
    <w:qFormat/>
    <w:rsid w:val="00A151C2"/>
    <w:pPr>
      <w:framePr w:w="10038" w:wrap="notBeside" w:vAnchor="page" w:hAnchor="page" w:x="1140" w:y="13885" w:anchorLock="1"/>
      <w:spacing w:after="120" w:line="240" w:lineRule="auto"/>
      <w:ind w:left="1080" w:right="306" w:hanging="720"/>
    </w:pPr>
    <w:rPr>
      <w:color w:val="636462"/>
      <w:kern w:val="0"/>
      <w:sz w:val="52"/>
      <w14:ligatures w14:val="none"/>
    </w:rPr>
  </w:style>
  <w:style w:type="character" w:styleId="PageNumber">
    <w:name w:val="page number"/>
    <w:basedOn w:val="DefaultParagraphFont"/>
    <w:uiPriority w:val="99"/>
    <w:unhideWhenUsed/>
    <w:rsid w:val="00AB5A91"/>
  </w:style>
  <w:style w:type="paragraph" w:customStyle="1" w:styleId="Shadedheading0">
    <w:name w:val="Shaded heading"/>
    <w:basedOn w:val="SectionHeader"/>
    <w:uiPriority w:val="99"/>
    <w:qFormat/>
    <w:rsid w:val="00A151C2"/>
    <w:pPr>
      <w:framePr w:wrap="notBeside"/>
      <w:numPr>
        <w:numId w:val="0"/>
      </w:numPr>
      <w:ind w:left="284" w:right="259"/>
    </w:pPr>
    <w:rPr>
      <w:sz w:val="28"/>
      <w:szCs w:val="28"/>
    </w:rPr>
  </w:style>
  <w:style w:type="paragraph" w:customStyle="1" w:styleId="AppendixPageTitle">
    <w:name w:val="Appendix Page Title"/>
    <w:basedOn w:val="PageTitle"/>
    <w:next w:val="BodyText"/>
    <w:uiPriority w:val="99"/>
    <w:qFormat/>
    <w:rsid w:val="00A151C2"/>
    <w:pPr>
      <w:pageBreakBefore/>
      <w:framePr w:w="8732" w:wrap="notBeside" w:vAnchor="page" w:hAnchor="page" w:x="1589" w:y="772" w:anchorLock="1"/>
      <w:spacing w:before="240"/>
    </w:pPr>
    <w:rPr>
      <w:noProof w:val="0"/>
      <w:sz w:val="48"/>
    </w:rPr>
  </w:style>
  <w:style w:type="paragraph" w:customStyle="1" w:styleId="CVEmail">
    <w:name w:val="CV Email"/>
    <w:basedOn w:val="BodyText"/>
    <w:uiPriority w:val="99"/>
    <w:qFormat/>
    <w:rsid w:val="00A151C2"/>
    <w:pPr>
      <w:tabs>
        <w:tab w:val="center" w:pos="1438"/>
      </w:tabs>
      <w:spacing w:before="60" w:after="0"/>
    </w:pPr>
    <w:rPr>
      <w:color w:val="3F0731" w:themeColor="text2"/>
      <w:sz w:val="18"/>
    </w:rPr>
  </w:style>
  <w:style w:type="paragraph" w:styleId="NormalWeb">
    <w:name w:val="Normal (Web)"/>
    <w:basedOn w:val="Normal"/>
    <w:uiPriority w:val="99"/>
    <w:unhideWhenUsed/>
    <w:rsid w:val="00AB5A91"/>
    <w:pPr>
      <w:spacing w:before="100" w:beforeAutospacing="1" w:after="100" w:afterAutospacing="1"/>
    </w:pPr>
    <w:rPr>
      <w:rFonts w:ascii="Times New Roman" w:eastAsia="Times New Roman" w:hAnsi="Times New Roman" w:cs="Times New Roman"/>
      <w:lang w:eastAsia="en-GB"/>
    </w:rPr>
  </w:style>
  <w:style w:type="paragraph" w:styleId="Subtitle">
    <w:name w:val="Subtitle"/>
    <w:basedOn w:val="Normal"/>
    <w:next w:val="Normal"/>
    <w:link w:val="SubtitleChar"/>
    <w:uiPriority w:val="25"/>
    <w:qFormat/>
    <w:rsid w:val="00A151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25"/>
    <w:rsid w:val="00A151C2"/>
    <w:rPr>
      <w:rFonts w:ascii="Poppins" w:eastAsiaTheme="majorEastAsia" w:hAnsi="Poppins"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30"/>
    <w:qFormat/>
    <w:rsid w:val="00A151C2"/>
    <w:pPr>
      <w:spacing w:before="160"/>
      <w:jc w:val="center"/>
    </w:pPr>
    <w:rPr>
      <w:i/>
      <w:iCs/>
      <w:color w:val="404040" w:themeColor="text1" w:themeTint="BF"/>
    </w:rPr>
  </w:style>
  <w:style w:type="character" w:customStyle="1" w:styleId="QuoteChar">
    <w:name w:val="Quote Char"/>
    <w:basedOn w:val="DefaultParagraphFont"/>
    <w:link w:val="Quote"/>
    <w:uiPriority w:val="30"/>
    <w:rsid w:val="00A151C2"/>
    <w:rPr>
      <w:rFonts w:ascii="Poppins" w:hAnsi="Poppins"/>
      <w:i/>
      <w:iCs/>
      <w:color w:val="404040" w:themeColor="text1" w:themeTint="BF"/>
      <w:kern w:val="2"/>
      <w:sz w:val="22"/>
      <w:szCs w:val="22"/>
      <w:lang w:val="en-GB"/>
      <w14:ligatures w14:val="standardContextual"/>
    </w:rPr>
  </w:style>
  <w:style w:type="character" w:styleId="IntenseEmphasis">
    <w:name w:val="Intense Emphasis"/>
    <w:basedOn w:val="DefaultParagraphFont"/>
    <w:uiPriority w:val="28"/>
    <w:qFormat/>
    <w:rsid w:val="00A151C2"/>
    <w:rPr>
      <w:i/>
      <w:iCs/>
      <w:color w:val="2F0524" w:themeColor="accent1" w:themeShade="BF"/>
    </w:rPr>
  </w:style>
  <w:style w:type="character" w:styleId="IntenseReference">
    <w:name w:val="Intense Reference"/>
    <w:basedOn w:val="DefaultParagraphFont"/>
    <w:uiPriority w:val="33"/>
    <w:qFormat/>
    <w:rsid w:val="00A151C2"/>
    <w:rPr>
      <w:b/>
      <w:bCs/>
      <w:smallCaps/>
      <w:color w:val="2F0524" w:themeColor="accent1" w:themeShade="BF"/>
      <w:spacing w:val="5"/>
    </w:rPr>
  </w:style>
  <w:style w:type="paragraph" w:styleId="Caption">
    <w:name w:val="caption"/>
    <w:basedOn w:val="Normal"/>
    <w:next w:val="Normal"/>
    <w:uiPriority w:val="36"/>
    <w:semiHidden/>
    <w:qFormat/>
    <w:rsid w:val="00A151C2"/>
    <w:pPr>
      <w:spacing w:after="200" w:line="240" w:lineRule="auto"/>
    </w:pPr>
    <w:rPr>
      <w:i/>
      <w:iCs/>
      <w:color w:val="3F0731" w:themeColor="text2"/>
      <w:sz w:val="18"/>
      <w:szCs w:val="18"/>
    </w:rPr>
  </w:style>
  <w:style w:type="character" w:styleId="Strong">
    <w:name w:val="Strong"/>
    <w:basedOn w:val="DefaultParagraphFont"/>
    <w:uiPriority w:val="22"/>
    <w:qFormat/>
    <w:rsid w:val="00A151C2"/>
    <w:rPr>
      <w:b/>
      <w:bCs/>
    </w:rPr>
  </w:style>
  <w:style w:type="character" w:styleId="SubtleEmphasis">
    <w:name w:val="Subtle Emphasis"/>
    <w:basedOn w:val="DefaultParagraphFont"/>
    <w:uiPriority w:val="26"/>
    <w:semiHidden/>
    <w:qFormat/>
    <w:rsid w:val="00A151C2"/>
    <w:rPr>
      <w:i/>
      <w:iCs/>
      <w:color w:val="404040" w:themeColor="text1" w:themeTint="BF"/>
    </w:rPr>
  </w:style>
  <w:style w:type="character" w:styleId="SubtleReference">
    <w:name w:val="Subtle Reference"/>
    <w:basedOn w:val="DefaultParagraphFont"/>
    <w:uiPriority w:val="32"/>
    <w:semiHidden/>
    <w:qFormat/>
    <w:rsid w:val="00A151C2"/>
    <w:rPr>
      <w:smallCaps/>
      <w:color w:val="5A5A5A" w:themeColor="text1" w:themeTint="A5"/>
    </w:rPr>
  </w:style>
  <w:style w:type="character" w:styleId="BookTitle">
    <w:name w:val="Book Title"/>
    <w:basedOn w:val="DefaultParagraphFont"/>
    <w:uiPriority w:val="34"/>
    <w:semiHidden/>
    <w:qFormat/>
    <w:rsid w:val="00A151C2"/>
    <w:rPr>
      <w:b/>
      <w:bCs/>
      <w:i/>
      <w:iCs/>
      <w:spacing w:val="5"/>
    </w:rPr>
  </w:style>
  <w:style w:type="table" w:styleId="GridTable4-Accent2">
    <w:name w:val="Grid Table 4 Accent 2"/>
    <w:basedOn w:val="TableNormal"/>
    <w:uiPriority w:val="49"/>
    <w:rsid w:val="008E20D5"/>
    <w:pPr>
      <w:spacing w:after="0"/>
    </w:pPr>
    <w:tblPr>
      <w:tblStyleRowBandSize w:val="1"/>
      <w:tblStyleColBandSize w:val="1"/>
      <w:tblBorders>
        <w:top w:val="single" w:sz="4" w:space="0" w:color="C076A7" w:themeColor="accent2" w:themeTint="99"/>
        <w:left w:val="single" w:sz="4" w:space="0" w:color="C076A7" w:themeColor="accent2" w:themeTint="99"/>
        <w:bottom w:val="single" w:sz="4" w:space="0" w:color="C076A7" w:themeColor="accent2" w:themeTint="99"/>
        <w:right w:val="single" w:sz="4" w:space="0" w:color="C076A7" w:themeColor="accent2" w:themeTint="99"/>
        <w:insideH w:val="single" w:sz="4" w:space="0" w:color="C076A7" w:themeColor="accent2" w:themeTint="99"/>
        <w:insideV w:val="single" w:sz="4" w:space="0" w:color="C076A7" w:themeColor="accent2" w:themeTint="99"/>
      </w:tblBorders>
    </w:tblPr>
    <w:tblStylePr w:type="firstRow">
      <w:rPr>
        <w:b/>
        <w:bCs/>
        <w:color w:val="FFFFFF" w:themeColor="background1"/>
      </w:rPr>
      <w:tblPr/>
      <w:tcPr>
        <w:tcBorders>
          <w:top w:val="single" w:sz="4" w:space="0" w:color="7A3864" w:themeColor="accent2"/>
          <w:left w:val="single" w:sz="4" w:space="0" w:color="7A3864" w:themeColor="accent2"/>
          <w:bottom w:val="single" w:sz="4" w:space="0" w:color="7A3864" w:themeColor="accent2"/>
          <w:right w:val="single" w:sz="4" w:space="0" w:color="7A3864" w:themeColor="accent2"/>
          <w:insideH w:val="nil"/>
          <w:insideV w:val="nil"/>
        </w:tcBorders>
        <w:shd w:val="clear" w:color="auto" w:fill="7A3864" w:themeFill="accent2"/>
      </w:tcPr>
    </w:tblStylePr>
    <w:tblStylePr w:type="lastRow">
      <w:rPr>
        <w:b/>
        <w:bCs/>
      </w:rPr>
      <w:tblPr/>
      <w:tcPr>
        <w:tcBorders>
          <w:top w:val="double" w:sz="4" w:space="0" w:color="7A3864" w:themeColor="accent2"/>
        </w:tcBorders>
      </w:tcPr>
    </w:tblStylePr>
    <w:tblStylePr w:type="firstCol">
      <w:rPr>
        <w:b/>
        <w:bCs/>
      </w:rPr>
    </w:tblStylePr>
    <w:tblStylePr w:type="lastCol">
      <w:rPr>
        <w:b/>
        <w:bCs/>
      </w:rPr>
    </w:tblStylePr>
    <w:tblStylePr w:type="band1Vert">
      <w:tblPr/>
      <w:tcPr>
        <w:shd w:val="clear" w:color="auto" w:fill="EAD1E1" w:themeFill="accent2" w:themeFillTint="33"/>
      </w:tcPr>
    </w:tblStylePr>
    <w:tblStylePr w:type="band1Horz">
      <w:tblPr/>
      <w:tcPr>
        <w:shd w:val="clear" w:color="auto" w:fill="EAD1E1" w:themeFill="accent2" w:themeFillTint="33"/>
      </w:tcPr>
    </w:tblStylePr>
  </w:style>
  <w:style w:type="paragraph" w:styleId="Revision">
    <w:name w:val="Revision"/>
    <w:hidden/>
    <w:uiPriority w:val="99"/>
    <w:semiHidden/>
    <w:rsid w:val="002D3980"/>
    <w:pPr>
      <w:spacing w:after="0"/>
    </w:pPr>
    <w:rPr>
      <w:rFonts w:ascii="Poppins" w:hAnsi="Poppins"/>
      <w:kern w:val="2"/>
      <w:sz w:val="22"/>
      <w:szCs w:val="22"/>
      <w:lang w:val="en-GB"/>
      <w14:ligatures w14:val="standardContextual"/>
    </w:rPr>
  </w:style>
  <w:style w:type="character" w:styleId="Mention">
    <w:name w:val="Mention"/>
    <w:basedOn w:val="DefaultParagraphFont"/>
    <w:uiPriority w:val="99"/>
    <w:unhideWhenUsed/>
    <w:rsid w:val="00366D93"/>
    <w:rPr>
      <w:color w:val="2B579A"/>
      <w:shd w:val="clear" w:color="auto" w:fill="E1DFDD"/>
    </w:rPr>
  </w:style>
  <w:style w:type="paragraph" w:styleId="FootnoteText">
    <w:name w:val="footnote text"/>
    <w:basedOn w:val="Normal"/>
    <w:link w:val="FootnoteTextChar"/>
    <w:uiPriority w:val="99"/>
    <w:semiHidden/>
    <w:unhideWhenUsed/>
    <w:rsid w:val="000A3E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A3E14"/>
    <w:rPr>
      <w:kern w:val="2"/>
      <w:lang w:val="en-US"/>
      <w14:ligatures w14:val="standardContextual"/>
    </w:rPr>
  </w:style>
  <w:style w:type="character" w:styleId="FootnoteReference">
    <w:name w:val="footnote reference"/>
    <w:basedOn w:val="DefaultParagraphFont"/>
    <w:uiPriority w:val="99"/>
    <w:semiHidden/>
    <w:unhideWhenUsed/>
    <w:rsid w:val="000A3E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2740">
      <w:bodyDiv w:val="1"/>
      <w:marLeft w:val="0"/>
      <w:marRight w:val="0"/>
      <w:marTop w:val="0"/>
      <w:marBottom w:val="0"/>
      <w:divBdr>
        <w:top w:val="none" w:sz="0" w:space="0" w:color="auto"/>
        <w:left w:val="none" w:sz="0" w:space="0" w:color="auto"/>
        <w:bottom w:val="none" w:sz="0" w:space="0" w:color="auto"/>
        <w:right w:val="none" w:sz="0" w:space="0" w:color="auto"/>
      </w:divBdr>
    </w:div>
    <w:div w:id="168570469">
      <w:bodyDiv w:val="1"/>
      <w:marLeft w:val="0"/>
      <w:marRight w:val="0"/>
      <w:marTop w:val="0"/>
      <w:marBottom w:val="0"/>
      <w:divBdr>
        <w:top w:val="none" w:sz="0" w:space="0" w:color="auto"/>
        <w:left w:val="none" w:sz="0" w:space="0" w:color="auto"/>
        <w:bottom w:val="none" w:sz="0" w:space="0" w:color="auto"/>
        <w:right w:val="none" w:sz="0" w:space="0" w:color="auto"/>
      </w:divBdr>
    </w:div>
    <w:div w:id="168953131">
      <w:bodyDiv w:val="1"/>
      <w:marLeft w:val="0"/>
      <w:marRight w:val="0"/>
      <w:marTop w:val="0"/>
      <w:marBottom w:val="0"/>
      <w:divBdr>
        <w:top w:val="none" w:sz="0" w:space="0" w:color="auto"/>
        <w:left w:val="none" w:sz="0" w:space="0" w:color="auto"/>
        <w:bottom w:val="none" w:sz="0" w:space="0" w:color="auto"/>
        <w:right w:val="none" w:sz="0" w:space="0" w:color="auto"/>
      </w:divBdr>
    </w:div>
    <w:div w:id="197401545">
      <w:bodyDiv w:val="1"/>
      <w:marLeft w:val="0"/>
      <w:marRight w:val="0"/>
      <w:marTop w:val="0"/>
      <w:marBottom w:val="0"/>
      <w:divBdr>
        <w:top w:val="none" w:sz="0" w:space="0" w:color="auto"/>
        <w:left w:val="none" w:sz="0" w:space="0" w:color="auto"/>
        <w:bottom w:val="none" w:sz="0" w:space="0" w:color="auto"/>
        <w:right w:val="none" w:sz="0" w:space="0" w:color="auto"/>
      </w:divBdr>
    </w:div>
    <w:div w:id="460270943">
      <w:bodyDiv w:val="1"/>
      <w:marLeft w:val="0"/>
      <w:marRight w:val="0"/>
      <w:marTop w:val="0"/>
      <w:marBottom w:val="0"/>
      <w:divBdr>
        <w:top w:val="none" w:sz="0" w:space="0" w:color="auto"/>
        <w:left w:val="none" w:sz="0" w:space="0" w:color="auto"/>
        <w:bottom w:val="none" w:sz="0" w:space="0" w:color="auto"/>
        <w:right w:val="none" w:sz="0" w:space="0" w:color="auto"/>
      </w:divBdr>
    </w:div>
    <w:div w:id="490565507">
      <w:bodyDiv w:val="1"/>
      <w:marLeft w:val="0"/>
      <w:marRight w:val="0"/>
      <w:marTop w:val="0"/>
      <w:marBottom w:val="0"/>
      <w:divBdr>
        <w:top w:val="none" w:sz="0" w:space="0" w:color="auto"/>
        <w:left w:val="none" w:sz="0" w:space="0" w:color="auto"/>
        <w:bottom w:val="none" w:sz="0" w:space="0" w:color="auto"/>
        <w:right w:val="none" w:sz="0" w:space="0" w:color="auto"/>
      </w:divBdr>
    </w:div>
    <w:div w:id="664821052">
      <w:bodyDiv w:val="1"/>
      <w:marLeft w:val="0"/>
      <w:marRight w:val="0"/>
      <w:marTop w:val="0"/>
      <w:marBottom w:val="0"/>
      <w:divBdr>
        <w:top w:val="none" w:sz="0" w:space="0" w:color="auto"/>
        <w:left w:val="none" w:sz="0" w:space="0" w:color="auto"/>
        <w:bottom w:val="none" w:sz="0" w:space="0" w:color="auto"/>
        <w:right w:val="none" w:sz="0" w:space="0" w:color="auto"/>
      </w:divBdr>
    </w:div>
    <w:div w:id="671685613">
      <w:bodyDiv w:val="1"/>
      <w:marLeft w:val="0"/>
      <w:marRight w:val="0"/>
      <w:marTop w:val="0"/>
      <w:marBottom w:val="0"/>
      <w:divBdr>
        <w:top w:val="none" w:sz="0" w:space="0" w:color="auto"/>
        <w:left w:val="none" w:sz="0" w:space="0" w:color="auto"/>
        <w:bottom w:val="none" w:sz="0" w:space="0" w:color="auto"/>
        <w:right w:val="none" w:sz="0" w:space="0" w:color="auto"/>
      </w:divBdr>
    </w:div>
    <w:div w:id="691954657">
      <w:bodyDiv w:val="1"/>
      <w:marLeft w:val="0"/>
      <w:marRight w:val="0"/>
      <w:marTop w:val="0"/>
      <w:marBottom w:val="0"/>
      <w:divBdr>
        <w:top w:val="none" w:sz="0" w:space="0" w:color="auto"/>
        <w:left w:val="none" w:sz="0" w:space="0" w:color="auto"/>
        <w:bottom w:val="none" w:sz="0" w:space="0" w:color="auto"/>
        <w:right w:val="none" w:sz="0" w:space="0" w:color="auto"/>
      </w:divBdr>
    </w:div>
    <w:div w:id="856775175">
      <w:bodyDiv w:val="1"/>
      <w:marLeft w:val="0"/>
      <w:marRight w:val="0"/>
      <w:marTop w:val="0"/>
      <w:marBottom w:val="0"/>
      <w:divBdr>
        <w:top w:val="none" w:sz="0" w:space="0" w:color="auto"/>
        <w:left w:val="none" w:sz="0" w:space="0" w:color="auto"/>
        <w:bottom w:val="none" w:sz="0" w:space="0" w:color="auto"/>
        <w:right w:val="none" w:sz="0" w:space="0" w:color="auto"/>
      </w:divBdr>
    </w:div>
    <w:div w:id="920524058">
      <w:bodyDiv w:val="1"/>
      <w:marLeft w:val="0"/>
      <w:marRight w:val="0"/>
      <w:marTop w:val="0"/>
      <w:marBottom w:val="0"/>
      <w:divBdr>
        <w:top w:val="none" w:sz="0" w:space="0" w:color="auto"/>
        <w:left w:val="none" w:sz="0" w:space="0" w:color="auto"/>
        <w:bottom w:val="none" w:sz="0" w:space="0" w:color="auto"/>
        <w:right w:val="none" w:sz="0" w:space="0" w:color="auto"/>
      </w:divBdr>
    </w:div>
    <w:div w:id="925069426">
      <w:bodyDiv w:val="1"/>
      <w:marLeft w:val="0"/>
      <w:marRight w:val="0"/>
      <w:marTop w:val="0"/>
      <w:marBottom w:val="0"/>
      <w:divBdr>
        <w:top w:val="none" w:sz="0" w:space="0" w:color="auto"/>
        <w:left w:val="none" w:sz="0" w:space="0" w:color="auto"/>
        <w:bottom w:val="none" w:sz="0" w:space="0" w:color="auto"/>
        <w:right w:val="none" w:sz="0" w:space="0" w:color="auto"/>
      </w:divBdr>
    </w:div>
    <w:div w:id="1173106202">
      <w:bodyDiv w:val="1"/>
      <w:marLeft w:val="0"/>
      <w:marRight w:val="0"/>
      <w:marTop w:val="0"/>
      <w:marBottom w:val="0"/>
      <w:divBdr>
        <w:top w:val="none" w:sz="0" w:space="0" w:color="auto"/>
        <w:left w:val="none" w:sz="0" w:space="0" w:color="auto"/>
        <w:bottom w:val="none" w:sz="0" w:space="0" w:color="auto"/>
        <w:right w:val="none" w:sz="0" w:space="0" w:color="auto"/>
      </w:divBdr>
    </w:div>
    <w:div w:id="1246188702">
      <w:bodyDiv w:val="1"/>
      <w:marLeft w:val="0"/>
      <w:marRight w:val="0"/>
      <w:marTop w:val="0"/>
      <w:marBottom w:val="0"/>
      <w:divBdr>
        <w:top w:val="none" w:sz="0" w:space="0" w:color="auto"/>
        <w:left w:val="none" w:sz="0" w:space="0" w:color="auto"/>
        <w:bottom w:val="none" w:sz="0" w:space="0" w:color="auto"/>
        <w:right w:val="none" w:sz="0" w:space="0" w:color="auto"/>
      </w:divBdr>
    </w:div>
    <w:div w:id="1261837679">
      <w:bodyDiv w:val="1"/>
      <w:marLeft w:val="0"/>
      <w:marRight w:val="0"/>
      <w:marTop w:val="0"/>
      <w:marBottom w:val="0"/>
      <w:divBdr>
        <w:top w:val="none" w:sz="0" w:space="0" w:color="auto"/>
        <w:left w:val="none" w:sz="0" w:space="0" w:color="auto"/>
        <w:bottom w:val="none" w:sz="0" w:space="0" w:color="auto"/>
        <w:right w:val="none" w:sz="0" w:space="0" w:color="auto"/>
      </w:divBdr>
    </w:div>
    <w:div w:id="1407455352">
      <w:bodyDiv w:val="1"/>
      <w:marLeft w:val="0"/>
      <w:marRight w:val="0"/>
      <w:marTop w:val="0"/>
      <w:marBottom w:val="0"/>
      <w:divBdr>
        <w:top w:val="none" w:sz="0" w:space="0" w:color="auto"/>
        <w:left w:val="none" w:sz="0" w:space="0" w:color="auto"/>
        <w:bottom w:val="none" w:sz="0" w:space="0" w:color="auto"/>
        <w:right w:val="none" w:sz="0" w:space="0" w:color="auto"/>
      </w:divBdr>
    </w:div>
    <w:div w:id="1480347104">
      <w:bodyDiv w:val="1"/>
      <w:marLeft w:val="0"/>
      <w:marRight w:val="0"/>
      <w:marTop w:val="0"/>
      <w:marBottom w:val="0"/>
      <w:divBdr>
        <w:top w:val="none" w:sz="0" w:space="0" w:color="auto"/>
        <w:left w:val="none" w:sz="0" w:space="0" w:color="auto"/>
        <w:bottom w:val="none" w:sz="0" w:space="0" w:color="auto"/>
        <w:right w:val="none" w:sz="0" w:space="0" w:color="auto"/>
      </w:divBdr>
    </w:div>
    <w:div w:id="1500853807">
      <w:bodyDiv w:val="1"/>
      <w:marLeft w:val="0"/>
      <w:marRight w:val="0"/>
      <w:marTop w:val="0"/>
      <w:marBottom w:val="0"/>
      <w:divBdr>
        <w:top w:val="none" w:sz="0" w:space="0" w:color="auto"/>
        <w:left w:val="none" w:sz="0" w:space="0" w:color="auto"/>
        <w:bottom w:val="none" w:sz="0" w:space="0" w:color="auto"/>
        <w:right w:val="none" w:sz="0" w:space="0" w:color="auto"/>
      </w:divBdr>
    </w:div>
    <w:div w:id="1517958375">
      <w:bodyDiv w:val="1"/>
      <w:marLeft w:val="0"/>
      <w:marRight w:val="0"/>
      <w:marTop w:val="0"/>
      <w:marBottom w:val="0"/>
      <w:divBdr>
        <w:top w:val="none" w:sz="0" w:space="0" w:color="auto"/>
        <w:left w:val="none" w:sz="0" w:space="0" w:color="auto"/>
        <w:bottom w:val="none" w:sz="0" w:space="0" w:color="auto"/>
        <w:right w:val="none" w:sz="0" w:space="0" w:color="auto"/>
      </w:divBdr>
    </w:div>
    <w:div w:id="1520509998">
      <w:bodyDiv w:val="1"/>
      <w:marLeft w:val="0"/>
      <w:marRight w:val="0"/>
      <w:marTop w:val="0"/>
      <w:marBottom w:val="0"/>
      <w:divBdr>
        <w:top w:val="none" w:sz="0" w:space="0" w:color="auto"/>
        <w:left w:val="none" w:sz="0" w:space="0" w:color="auto"/>
        <w:bottom w:val="none" w:sz="0" w:space="0" w:color="auto"/>
        <w:right w:val="none" w:sz="0" w:space="0" w:color="auto"/>
      </w:divBdr>
    </w:div>
    <w:div w:id="1524586638">
      <w:bodyDiv w:val="1"/>
      <w:marLeft w:val="0"/>
      <w:marRight w:val="0"/>
      <w:marTop w:val="0"/>
      <w:marBottom w:val="0"/>
      <w:divBdr>
        <w:top w:val="none" w:sz="0" w:space="0" w:color="auto"/>
        <w:left w:val="none" w:sz="0" w:space="0" w:color="auto"/>
        <w:bottom w:val="none" w:sz="0" w:space="0" w:color="auto"/>
        <w:right w:val="none" w:sz="0" w:space="0" w:color="auto"/>
      </w:divBdr>
    </w:div>
    <w:div w:id="1699968544">
      <w:bodyDiv w:val="1"/>
      <w:marLeft w:val="0"/>
      <w:marRight w:val="0"/>
      <w:marTop w:val="0"/>
      <w:marBottom w:val="0"/>
      <w:divBdr>
        <w:top w:val="none" w:sz="0" w:space="0" w:color="auto"/>
        <w:left w:val="none" w:sz="0" w:space="0" w:color="auto"/>
        <w:bottom w:val="none" w:sz="0" w:space="0" w:color="auto"/>
        <w:right w:val="none" w:sz="0" w:space="0" w:color="auto"/>
      </w:divBdr>
    </w:div>
    <w:div w:id="1786464628">
      <w:bodyDiv w:val="1"/>
      <w:marLeft w:val="0"/>
      <w:marRight w:val="0"/>
      <w:marTop w:val="0"/>
      <w:marBottom w:val="0"/>
      <w:divBdr>
        <w:top w:val="none" w:sz="0" w:space="0" w:color="auto"/>
        <w:left w:val="none" w:sz="0" w:space="0" w:color="auto"/>
        <w:bottom w:val="none" w:sz="0" w:space="0" w:color="auto"/>
        <w:right w:val="none" w:sz="0" w:space="0" w:color="auto"/>
      </w:divBdr>
    </w:div>
    <w:div w:id="1802917572">
      <w:bodyDiv w:val="1"/>
      <w:marLeft w:val="0"/>
      <w:marRight w:val="0"/>
      <w:marTop w:val="0"/>
      <w:marBottom w:val="0"/>
      <w:divBdr>
        <w:top w:val="none" w:sz="0" w:space="0" w:color="auto"/>
        <w:left w:val="none" w:sz="0" w:space="0" w:color="auto"/>
        <w:bottom w:val="none" w:sz="0" w:space="0" w:color="auto"/>
        <w:right w:val="none" w:sz="0" w:space="0" w:color="auto"/>
      </w:divBdr>
    </w:div>
    <w:div w:id="1816994314">
      <w:bodyDiv w:val="1"/>
      <w:marLeft w:val="0"/>
      <w:marRight w:val="0"/>
      <w:marTop w:val="0"/>
      <w:marBottom w:val="0"/>
      <w:divBdr>
        <w:top w:val="none" w:sz="0" w:space="0" w:color="auto"/>
        <w:left w:val="none" w:sz="0" w:space="0" w:color="auto"/>
        <w:bottom w:val="none" w:sz="0" w:space="0" w:color="auto"/>
        <w:right w:val="none" w:sz="0" w:space="0" w:color="auto"/>
      </w:divBdr>
    </w:div>
    <w:div w:id="2024353788">
      <w:bodyDiv w:val="1"/>
      <w:marLeft w:val="0"/>
      <w:marRight w:val="0"/>
      <w:marTop w:val="0"/>
      <w:marBottom w:val="0"/>
      <w:divBdr>
        <w:top w:val="none" w:sz="0" w:space="0" w:color="auto"/>
        <w:left w:val="none" w:sz="0" w:space="0" w:color="auto"/>
        <w:bottom w:val="none" w:sz="0" w:space="0" w:color="auto"/>
        <w:right w:val="none" w:sz="0" w:space="0" w:color="auto"/>
      </w:divBdr>
    </w:div>
    <w:div w:id="2031950582">
      <w:bodyDiv w:val="1"/>
      <w:marLeft w:val="0"/>
      <w:marRight w:val="0"/>
      <w:marTop w:val="0"/>
      <w:marBottom w:val="0"/>
      <w:divBdr>
        <w:top w:val="none" w:sz="0" w:space="0" w:color="auto"/>
        <w:left w:val="none" w:sz="0" w:space="0" w:color="auto"/>
        <w:bottom w:val="none" w:sz="0" w:space="0" w:color="auto"/>
        <w:right w:val="none" w:sz="0" w:space="0" w:color="auto"/>
      </w:divBdr>
    </w:div>
    <w:div w:id="213879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NESO_Office_Theme_PPT">
  <a:themeElements>
    <a:clrScheme name="NESO II">
      <a:dk1>
        <a:sysClr val="windowText" lastClr="000000"/>
      </a:dk1>
      <a:lt1>
        <a:sysClr val="window" lastClr="FFFFFF"/>
      </a:lt1>
      <a:dk2>
        <a:srgbClr val="3F0731"/>
      </a:dk2>
      <a:lt2>
        <a:srgbClr val="070E40"/>
      </a:lt2>
      <a:accent1>
        <a:srgbClr val="3F0731"/>
      </a:accent1>
      <a:accent2>
        <a:srgbClr val="7A3864"/>
      </a:accent2>
      <a:accent3>
        <a:srgbClr val="FF00FF"/>
      </a:accent3>
      <a:accent4>
        <a:srgbClr val="070E40"/>
      </a:accent4>
      <a:accent5>
        <a:srgbClr val="385B16"/>
      </a:accent5>
      <a:accent6>
        <a:srgbClr val="B0322B"/>
      </a:accent6>
      <a:hlink>
        <a:srgbClr val="2CB9FF"/>
      </a:hlink>
      <a:folHlink>
        <a:srgbClr val="3F87A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NESO_Office_Theme_PPT" id="{1BE572A3-3079-4C34-9F9E-38632D18EA54}" vid="{A5F4C047-3F68-4E86-A5FC-339EFF72BDD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CEBA3B78547A46809B061FDC73A634" ma:contentTypeVersion="7" ma:contentTypeDescription="Create a new document." ma:contentTypeScope="" ma:versionID="e47f1120df066def86c6225d293cedc4">
  <xsd:schema xmlns:xsd="http://www.w3.org/2001/XMLSchema" xmlns:xs="http://www.w3.org/2001/XMLSchema" xmlns:p="http://schemas.microsoft.com/office/2006/metadata/properties" xmlns:ns2="f0f71c66-ac30-468b-8c1a-d98ce11e4673" targetNamespace="http://schemas.microsoft.com/office/2006/metadata/properties" ma:root="true" ma:fieldsID="551c31dae1a3b5af5ac301f8022a64d1" ns2:_="">
    <xsd:import namespace="f0f71c66-ac30-468b-8c1a-d98ce11e46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f71c66-ac30-468b-8c1a-d98ce11e46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89CE42-23A1-463E-BD83-1AEDF1B1CA59}">
  <ds:schemaRefs>
    <ds:schemaRef ds:uri="http://schemas.openxmlformats.org/officeDocument/2006/bibliography"/>
  </ds:schemaRefs>
</ds:datastoreItem>
</file>

<file path=customXml/itemProps2.xml><?xml version="1.0" encoding="utf-8"?>
<ds:datastoreItem xmlns:ds="http://schemas.openxmlformats.org/officeDocument/2006/customXml" ds:itemID="{2FDCFE5A-CFAC-436D-B868-45F50530B477}">
  <ds:schemaRefs>
    <ds:schemaRef ds:uri="http://schemas.microsoft.com/sharepoint/v3/contenttype/forms"/>
  </ds:schemaRefs>
</ds:datastoreItem>
</file>

<file path=customXml/itemProps3.xml><?xml version="1.0" encoding="utf-8"?>
<ds:datastoreItem xmlns:ds="http://schemas.openxmlformats.org/officeDocument/2006/customXml" ds:itemID="{E7452CD9-3B6F-4186-988B-75EC98DA66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f71c66-ac30-468b-8c1a-d98ce11e46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44EFE6-547C-46A6-9E02-B11BD741E93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1946</Words>
  <Characters>11098</Characters>
  <Application>Microsoft Office Word</Application>
  <DocSecurity>4</DocSecurity>
  <Lines>92</Lines>
  <Paragraphs>26</Paragraphs>
  <ScaleCrop>false</ScaleCrop>
  <HeadingPairs>
    <vt:vector size="2" baseType="variant">
      <vt:variant>
        <vt:lpstr>Title</vt:lpstr>
      </vt:variant>
      <vt:variant>
        <vt:i4>1</vt:i4>
      </vt:variant>
    </vt:vector>
  </HeadingPairs>
  <TitlesOfParts>
    <vt:vector size="1" baseType="lpstr">
      <vt:lpstr>NESO Paper</vt:lpstr>
    </vt:vector>
  </TitlesOfParts>
  <Company>Hamilton-Brown</Company>
  <LinksUpToDate>false</LinksUpToDate>
  <CharactersWithSpaces>13018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NESO Paper</dc:title>
  <dc:subject/>
  <dc:creator>Anthony Brooks (ESO)</dc:creator>
  <cp:keywords/>
  <dc:description/>
  <cp:lastModifiedBy>Sebastian Campos</cp:lastModifiedBy>
  <cp:revision>204</cp:revision>
  <cp:lastPrinted>2020-06-02T14:47:00Z</cp:lastPrinted>
  <dcterms:created xsi:type="dcterms:W3CDTF">2026-10-16T13:02:00Z</dcterms:created>
  <dcterms:modified xsi:type="dcterms:W3CDTF">2026-10-22T10:56:00Z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0x0101009FCEBA3B78547A46809B061FDC73A634</vt:lpwstr>
  </property>
  <property fmtid="{D5CDD505-2E9C-101B-9397-08002B2CF9AE}" pid="3" name="Order">
    <vt:r8>1800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MSIP_Label_8bd8ea52-c780-4b8e-a340-9b7c17991182_Enabled">
    <vt:lpwstr>true</vt:lpwstr>
  </property>
  <property fmtid="{D5CDD505-2E9C-101B-9397-08002B2CF9AE}" pid="10" name="MSIP_Label_8bd8ea52-c780-4b8e-a340-9b7c17991182_SetDate">
    <vt:lpwstr>2026-10-14T15:28:13Z</vt:lpwstr>
  </property>
  <property fmtid="{D5CDD505-2E9C-101B-9397-08002B2CF9AE}" pid="11" name="MSIP_Label_8bd8ea52-c780-4b8e-a340-9b7c17991182_Method">
    <vt:lpwstr>Privileged</vt:lpwstr>
  </property>
  <property fmtid="{D5CDD505-2E9C-101B-9397-08002B2CF9AE}" pid="12" name="MSIP_Label_8bd8ea52-c780-4b8e-a340-9b7c17991182_Name">
    <vt:lpwstr>Internal Only New</vt:lpwstr>
  </property>
  <property fmtid="{D5CDD505-2E9C-101B-9397-08002B2CF9AE}" pid="13" name="MSIP_Label_8bd8ea52-c780-4b8e-a340-9b7c17991182_SiteId">
    <vt:lpwstr>a63c9e9e-b4db-442a-a94f-08718d788e8c</vt:lpwstr>
  </property>
  <property fmtid="{D5CDD505-2E9C-101B-9397-08002B2CF9AE}" pid="14" name="MSIP_Label_8bd8ea52-c780-4b8e-a340-9b7c17991182_ActionId">
    <vt:lpwstr>cacb40ce-1e30-4623-8ebc-da62b74d3c38</vt:lpwstr>
  </property>
  <property fmtid="{D5CDD505-2E9C-101B-9397-08002B2CF9AE}" pid="15" name="MSIP_Label_8bd8ea52-c780-4b8e-a340-9b7c17991182_ContentBits">
    <vt:lpwstr>1</vt:lpwstr>
  </property>
  <property fmtid="{D5CDD505-2E9C-101B-9397-08002B2CF9AE}" pid="16" name="MSIP_Label_8bd8ea52-c780-4b8e-a340-9b7c17991182_Tag">
    <vt:lpwstr>10, 0, 1, 1</vt:lpwstr>
  </property>
  <property fmtid="{D5CDD505-2E9C-101B-9397-08002B2CF9AE}" pid="17" name="docLang">
    <vt:lpwstr>en</vt:lpwstr>
  </property>
</Properties>
</file>