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D1F" w14:textId="55948B88" w:rsidR="002672E7" w:rsidRPr="00782E47" w:rsidRDefault="002672E7" w:rsidP="002672E7">
      <w:pPr>
        <w:pStyle w:val="DocumentTitle"/>
        <w:framePr w:w="7696" w:wrap="notBeside" w:x="1096" w:y="2341"/>
      </w:pPr>
      <w:r>
        <w:t>Order of action - Winter 202</w:t>
      </w:r>
      <w:r w:rsidR="00544579">
        <w:t>5</w:t>
      </w:r>
      <w:r>
        <w:t>/2</w:t>
      </w:r>
      <w:r w:rsidR="00544579">
        <w:t>6</w:t>
      </w:r>
    </w:p>
    <w:p w14:paraId="23E4452F" w14:textId="77777777" w:rsidR="000E1DE7" w:rsidRPr="00A04C4B" w:rsidRDefault="000E1DE7" w:rsidP="000E1DE7">
      <w:pPr>
        <w:pStyle w:val="Heading1"/>
        <w:rPr>
          <w:rFonts w:cstheme="majorHAnsi"/>
        </w:rPr>
      </w:pPr>
      <w:r w:rsidRPr="00A04C4B">
        <w:rPr>
          <w:rFonts w:cstheme="majorHAnsi"/>
        </w:rPr>
        <w:t>Context</w:t>
      </w:r>
    </w:p>
    <w:p w14:paraId="39E7421A" w14:textId="5862A194" w:rsidR="00CC5704" w:rsidRPr="000B31FA" w:rsidRDefault="00470155" w:rsidP="00470155">
      <w:pPr>
        <w:pStyle w:val="BodyText"/>
        <w:rPr>
          <w:rFonts w:cstheme="minorHAnsi"/>
          <w:color w:val="auto"/>
          <w:sz w:val="22"/>
          <w:szCs w:val="22"/>
        </w:rPr>
      </w:pPr>
      <w:r w:rsidRPr="000B31FA">
        <w:rPr>
          <w:rFonts w:cstheme="minorHAnsi"/>
          <w:color w:val="auto"/>
          <w:sz w:val="22"/>
          <w:szCs w:val="22"/>
        </w:rPr>
        <w:t xml:space="preserve">The Order of Action is as agreed by </w:t>
      </w:r>
      <w:r w:rsidR="002C7C7D">
        <w:rPr>
          <w:rFonts w:cstheme="minorHAnsi"/>
          <w:color w:val="auto"/>
          <w:sz w:val="22"/>
          <w:szCs w:val="22"/>
        </w:rPr>
        <w:t>NESO Executive Leadership Team</w:t>
      </w:r>
      <w:r w:rsidR="002C7C7D" w:rsidRPr="000B31FA">
        <w:rPr>
          <w:rFonts w:cstheme="minorHAnsi"/>
          <w:color w:val="auto"/>
          <w:sz w:val="22"/>
          <w:szCs w:val="22"/>
        </w:rPr>
        <w:t xml:space="preserve"> </w:t>
      </w:r>
      <w:r w:rsidRPr="000B31FA">
        <w:rPr>
          <w:rFonts w:cstheme="minorHAnsi"/>
          <w:color w:val="auto"/>
          <w:sz w:val="22"/>
          <w:szCs w:val="22"/>
        </w:rPr>
        <w:t>and communicated externally at Markets Forum. The Order of Action for Winter 202</w:t>
      </w:r>
      <w:r w:rsidR="00544579">
        <w:rPr>
          <w:rFonts w:cstheme="minorHAnsi"/>
          <w:color w:val="auto"/>
          <w:sz w:val="22"/>
          <w:szCs w:val="22"/>
        </w:rPr>
        <w:t>5</w:t>
      </w:r>
      <w:r w:rsidRPr="000B31FA">
        <w:rPr>
          <w:rFonts w:cstheme="minorHAnsi"/>
          <w:color w:val="auto"/>
          <w:sz w:val="22"/>
          <w:szCs w:val="22"/>
        </w:rPr>
        <w:t>/2</w:t>
      </w:r>
      <w:r w:rsidR="00544579">
        <w:rPr>
          <w:rFonts w:cstheme="minorHAnsi"/>
          <w:color w:val="auto"/>
          <w:sz w:val="22"/>
          <w:szCs w:val="22"/>
        </w:rPr>
        <w:t>6</w:t>
      </w:r>
      <w:r w:rsidRPr="000B31FA">
        <w:rPr>
          <w:rFonts w:cstheme="minorHAnsi"/>
          <w:color w:val="auto"/>
          <w:sz w:val="22"/>
          <w:szCs w:val="22"/>
        </w:rPr>
        <w:t xml:space="preserve"> is summarised in the tables below:</w:t>
      </w:r>
    </w:p>
    <w:p w14:paraId="16F77243" w14:textId="77777777" w:rsidR="00CC5704" w:rsidRPr="000B31FA" w:rsidRDefault="00CC5704" w:rsidP="00470155">
      <w:pPr>
        <w:pStyle w:val="BodyText"/>
        <w:rPr>
          <w:rFonts w:cstheme="minorHAnsi"/>
          <w:color w:val="auto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5656"/>
        <w:tblW w:w="0" w:type="auto"/>
        <w:tblLook w:val="0600" w:firstRow="0" w:lastRow="0" w:firstColumn="0" w:lastColumn="0" w:noHBand="1" w:noVBand="1"/>
      </w:tblPr>
      <w:tblGrid>
        <w:gridCol w:w="4248"/>
        <w:gridCol w:w="1134"/>
        <w:gridCol w:w="4354"/>
      </w:tblGrid>
      <w:tr w:rsidR="00292573" w:rsidRPr="000B31FA" w14:paraId="7247D1C4" w14:textId="77777777" w:rsidTr="00F44A07">
        <w:trPr>
          <w:trHeight w:val="558"/>
        </w:trPr>
        <w:tc>
          <w:tcPr>
            <w:tcW w:w="0" w:type="auto"/>
            <w:hideMark/>
          </w:tcPr>
          <w:p w14:paraId="78D9569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Everyday Actions​​</w:t>
            </w:r>
          </w:p>
        </w:tc>
        <w:tc>
          <w:tcPr>
            <w:tcW w:w="1134" w:type="dxa"/>
            <w:hideMark/>
          </w:tcPr>
          <w:p w14:paraId="44DCF5B7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Order ​​</w:t>
            </w:r>
          </w:p>
        </w:tc>
        <w:tc>
          <w:tcPr>
            <w:tcW w:w="4354" w:type="dxa"/>
            <w:hideMark/>
          </w:tcPr>
          <w:p w14:paraId="6BCB534E" w14:textId="77777777" w:rsidR="00494DDA" w:rsidRPr="000B31FA" w:rsidRDefault="00494DDA" w:rsidP="00981E9E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Comments​​</w:t>
            </w:r>
          </w:p>
        </w:tc>
      </w:tr>
      <w:tr w:rsidR="000B31FA" w:rsidRPr="000B31FA" w14:paraId="71720F64" w14:textId="77777777" w:rsidTr="00F44A07">
        <w:trPr>
          <w:trHeight w:val="1410"/>
        </w:trPr>
        <w:tc>
          <w:tcPr>
            <w:tcW w:w="0" w:type="auto"/>
            <w:hideMark/>
          </w:tcPr>
          <w:p w14:paraId="484744EA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Reconfigure Transmission Network to reduce network congestion: Change substation running arrangements, Tap Quad Boosters, and make use of enhanced ratings​​</w:t>
            </w:r>
          </w:p>
        </w:tc>
        <w:tc>
          <w:tcPr>
            <w:tcW w:w="1134" w:type="dxa"/>
            <w:hideMark/>
          </w:tcPr>
          <w:p w14:paraId="712B9075" w14:textId="07C2940A" w:rsidR="00494DDA" w:rsidRPr="000B31FA" w:rsidRDefault="00EA4374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#1 </w:t>
            </w:r>
            <w:r w:rsidR="00494DDA" w:rsidRPr="000B31FA">
              <w:rPr>
                <w:rFonts w:cstheme="minorHAnsi"/>
                <w:sz w:val="22"/>
                <w:szCs w:val="22"/>
              </w:rPr>
              <w:t>Normal operating practice ​​</w:t>
            </w:r>
          </w:p>
        </w:tc>
        <w:tc>
          <w:tcPr>
            <w:tcW w:w="4354" w:type="dxa"/>
            <w:hideMark/>
          </w:tcPr>
          <w:p w14:paraId="2F51D55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daily operating conditions can result in different network configurations to reduce congestion​​.</w:t>
            </w:r>
          </w:p>
        </w:tc>
      </w:tr>
      <w:tr w:rsidR="00292573" w:rsidRPr="000B31FA" w14:paraId="3721404D" w14:textId="77777777" w:rsidTr="0090367A">
        <w:trPr>
          <w:trHeight w:val="1181"/>
        </w:trPr>
        <w:tc>
          <w:tcPr>
            <w:tcW w:w="0" w:type="auto"/>
            <w:hideMark/>
          </w:tcPr>
          <w:p w14:paraId="3FC576A6" w14:textId="77777777" w:rsidR="00494DDA" w:rsidRPr="000B31F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Review and refine reserve requirement within day dependent on system conditions​</w:t>
            </w:r>
          </w:p>
        </w:tc>
        <w:tc>
          <w:tcPr>
            <w:tcW w:w="1134" w:type="dxa"/>
            <w:hideMark/>
          </w:tcPr>
          <w:p w14:paraId="156599F2" w14:textId="210DCAA8" w:rsidR="00494DDA" w:rsidRPr="000B31FA" w:rsidRDefault="00EA4374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#1 </w:t>
            </w:r>
            <w:r w:rsidR="00494DDA" w:rsidRPr="000B31FA">
              <w:rPr>
                <w:rFonts w:cstheme="minorHAnsi"/>
                <w:sz w:val="22"/>
                <w:szCs w:val="22"/>
              </w:rPr>
              <w:t>Normal operating practice ​</w:t>
            </w:r>
          </w:p>
        </w:tc>
        <w:tc>
          <w:tcPr>
            <w:tcW w:w="4354" w:type="dxa"/>
            <w:hideMark/>
          </w:tcPr>
          <w:p w14:paraId="7B017643" w14:textId="77777777" w:rsidR="00494DDA" w:rsidRDefault="00494DDA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Changing system conditions can relieve requirements for reserve or increase requirements. This can change at any time as the conditions change.​</w:t>
            </w:r>
          </w:p>
          <w:p w14:paraId="75CF9202" w14:textId="77777777" w:rsidR="00D878BD" w:rsidRPr="000B31FA" w:rsidRDefault="00D878BD" w:rsidP="00981E9E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  <w:tr w:rsidR="00217747" w:rsidRPr="000B31FA" w14:paraId="6B0C60BB" w14:textId="77777777" w:rsidTr="0090367A">
        <w:trPr>
          <w:trHeight w:val="1181"/>
        </w:trPr>
        <w:tc>
          <w:tcPr>
            <w:tcW w:w="0" w:type="auto"/>
          </w:tcPr>
          <w:p w14:paraId="574882DA" w14:textId="0AA5DA52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All deliverable Offer action on all available </w:t>
            </w:r>
            <w:r>
              <w:rPr>
                <w:rFonts w:cstheme="minorHAnsi"/>
                <w:sz w:val="22"/>
                <w:szCs w:val="22"/>
              </w:rPr>
              <w:t>Balancing Mechanism (</w:t>
            </w:r>
            <w:r w:rsidRPr="000B31FA">
              <w:rPr>
                <w:rFonts w:cstheme="minorHAnsi"/>
                <w:sz w:val="22"/>
                <w:szCs w:val="22"/>
              </w:rPr>
              <w:t>BM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participants​​</w:t>
            </w:r>
          </w:p>
        </w:tc>
        <w:tc>
          <w:tcPr>
            <w:tcW w:w="1134" w:type="dxa"/>
          </w:tcPr>
          <w:p w14:paraId="13D0D72A" w14:textId="17B52860" w:rsidR="00217747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</w:tcPr>
          <w:p w14:paraId="4DDB244C" w14:textId="1BDAA14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action taken in real time – some offers may not be available due to network congestion​​.</w:t>
            </w:r>
          </w:p>
        </w:tc>
      </w:tr>
      <w:tr w:rsidR="00217747" w:rsidRPr="000B31FA" w14:paraId="74DFAAF6" w14:textId="77777777" w:rsidTr="0090367A">
        <w:trPr>
          <w:trHeight w:val="1181"/>
        </w:trPr>
        <w:tc>
          <w:tcPr>
            <w:tcW w:w="0" w:type="auto"/>
          </w:tcPr>
          <w:p w14:paraId="4EC085A4" w14:textId="2D69CF53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3399FE96">
              <w:rPr>
                <w:sz w:val="22"/>
                <w:szCs w:val="22"/>
              </w:rPr>
              <w:t>Issue warming instructions to cold BM participants​​</w:t>
            </w:r>
          </w:p>
        </w:tc>
        <w:tc>
          <w:tcPr>
            <w:tcW w:w="1134" w:type="dxa"/>
          </w:tcPr>
          <w:p w14:paraId="4AD3C1CA" w14:textId="4F437546" w:rsidR="00217747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</w:tcPr>
          <w:p w14:paraId="38BE3AB9" w14:textId="69F6DB43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73208A03">
              <w:rPr>
                <w:sz w:val="22"/>
                <w:szCs w:val="22"/>
              </w:rPr>
              <w:t xml:space="preserve">Scheduled from Day Ahead, action taken in real time​​. </w:t>
            </w:r>
            <w:r>
              <w:rPr>
                <w:sz w:val="22"/>
                <w:szCs w:val="22"/>
              </w:rPr>
              <w:t>Warming instruction required for any Balancing Mechanism Unit (BMU)</w:t>
            </w:r>
            <w:r w:rsidRPr="73208A03">
              <w:rPr>
                <w:sz w:val="22"/>
                <w:szCs w:val="22"/>
              </w:rPr>
              <w:t xml:space="preserve"> with</w:t>
            </w:r>
            <w:r>
              <w:rPr>
                <w:sz w:val="22"/>
                <w:szCs w:val="22"/>
              </w:rPr>
              <w:t xml:space="preserve"> Notice to Deviate from Zero </w:t>
            </w:r>
            <w:r w:rsidRPr="73208A03">
              <w:rPr>
                <w:sz w:val="22"/>
                <w:szCs w:val="22"/>
              </w:rPr>
              <w:t>(NDZ</w:t>
            </w:r>
            <w:r>
              <w:rPr>
                <w:sz w:val="22"/>
                <w:szCs w:val="22"/>
              </w:rPr>
              <w:t xml:space="preserve">) </w:t>
            </w:r>
            <w:r w:rsidRPr="73208A03">
              <w:rPr>
                <w:sz w:val="22"/>
                <w:szCs w:val="22"/>
              </w:rPr>
              <w:t>&gt;89mins.</w:t>
            </w:r>
          </w:p>
        </w:tc>
      </w:tr>
      <w:tr w:rsidR="00217747" w:rsidRPr="000B31FA" w14:paraId="46BA751D" w14:textId="77777777" w:rsidTr="0090367A">
        <w:trPr>
          <w:trHeight w:val="1181"/>
        </w:trPr>
        <w:tc>
          <w:tcPr>
            <w:tcW w:w="0" w:type="auto"/>
          </w:tcPr>
          <w:p w14:paraId="47BAC189" w14:textId="3E469B91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Buy energy from continental Europe​​</w:t>
            </w:r>
          </w:p>
        </w:tc>
        <w:tc>
          <w:tcPr>
            <w:tcW w:w="1134" w:type="dxa"/>
          </w:tcPr>
          <w:p w14:paraId="629F8700" w14:textId="35CAD7AD" w:rsidR="00217747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</w:tcPr>
          <w:p w14:paraId="1D0AE9DD" w14:textId="41C0E50F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Scheduled from Day Ahead, action taken from Day Ahead to 4hrs ahead of time by 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Pr="000B31FA">
              <w:rPr>
                <w:rFonts w:cstheme="minorHAnsi"/>
                <w:sz w:val="22"/>
                <w:szCs w:val="22"/>
              </w:rPr>
              <w:t>ESO Traders​​.</w:t>
            </w:r>
          </w:p>
        </w:tc>
      </w:tr>
    </w:tbl>
    <w:p w14:paraId="234596E7" w14:textId="77777777" w:rsidR="00F44A07" w:rsidRDefault="00F44A07"/>
    <w:p w14:paraId="145EAFD7" w14:textId="77777777" w:rsidR="000E1DE7" w:rsidRPr="000B31FA" w:rsidRDefault="000E1DE7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2386"/>
        <w:tblW w:w="0" w:type="auto"/>
        <w:tblLook w:val="0600" w:firstRow="0" w:lastRow="0" w:firstColumn="0" w:lastColumn="0" w:noHBand="1" w:noVBand="1"/>
      </w:tblPr>
      <w:tblGrid>
        <w:gridCol w:w="4248"/>
        <w:gridCol w:w="1134"/>
        <w:gridCol w:w="4354"/>
      </w:tblGrid>
      <w:tr w:rsidR="00D878BD" w:rsidRPr="000B31FA" w14:paraId="5EB1A9BD" w14:textId="77777777" w:rsidTr="008B5723">
        <w:trPr>
          <w:trHeight w:val="416"/>
        </w:trPr>
        <w:tc>
          <w:tcPr>
            <w:tcW w:w="0" w:type="auto"/>
          </w:tcPr>
          <w:p w14:paraId="15904F89" w14:textId="77777777" w:rsidR="00D878BD" w:rsidRPr="000B31FA" w:rsidRDefault="00D878BD" w:rsidP="008B5723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Everyday Actions​​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(cont.)</w:t>
            </w:r>
          </w:p>
        </w:tc>
        <w:tc>
          <w:tcPr>
            <w:tcW w:w="1134" w:type="dxa"/>
          </w:tcPr>
          <w:p w14:paraId="5C4803E6" w14:textId="77777777" w:rsidR="00D878BD" w:rsidRPr="000B31FA" w:rsidRDefault="00D878BD" w:rsidP="008B5723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Order ​​</w:t>
            </w:r>
          </w:p>
        </w:tc>
        <w:tc>
          <w:tcPr>
            <w:tcW w:w="4354" w:type="dxa"/>
          </w:tcPr>
          <w:p w14:paraId="51CA732F" w14:textId="77777777" w:rsidR="00D878BD" w:rsidRPr="000B31FA" w:rsidRDefault="00D878BD" w:rsidP="008B5723">
            <w:pPr>
              <w:pStyle w:val="BodyText"/>
              <w:jc w:val="center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sz w:val="22"/>
                <w:szCs w:val="22"/>
              </w:rPr>
              <w:t>Comments​​</w:t>
            </w:r>
          </w:p>
        </w:tc>
      </w:tr>
      <w:tr w:rsidR="00D878BD" w:rsidRPr="000B31FA" w14:paraId="0A34CC99" w14:textId="77777777" w:rsidTr="008B5723">
        <w:trPr>
          <w:trHeight w:val="850"/>
        </w:trPr>
        <w:tc>
          <w:tcPr>
            <w:tcW w:w="0" w:type="auto"/>
            <w:hideMark/>
          </w:tcPr>
          <w:p w14:paraId="108E8BCC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 xml:space="preserve">Reconfigure </w:t>
            </w:r>
            <w:r>
              <w:rPr>
                <w:rFonts w:cstheme="minorHAnsi"/>
                <w:sz w:val="22"/>
                <w:szCs w:val="22"/>
              </w:rPr>
              <w:t>Close Cycle Gas Turbines (</w:t>
            </w:r>
            <w:r w:rsidRPr="000B31FA">
              <w:rPr>
                <w:rFonts w:cstheme="minorHAnsi"/>
                <w:sz w:val="22"/>
                <w:szCs w:val="22"/>
              </w:rPr>
              <w:t>CCGTs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 xml:space="preserve"> to increase available energy (e.g. sync additional GTs)​​</w:t>
            </w:r>
          </w:p>
        </w:tc>
        <w:tc>
          <w:tcPr>
            <w:tcW w:w="1134" w:type="dxa"/>
            <w:hideMark/>
          </w:tcPr>
          <w:p w14:paraId="4795D6A5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5A585800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Scheduled from Day Ahead, managed within the control timescales within day.​​</w:t>
            </w:r>
          </w:p>
        </w:tc>
      </w:tr>
      <w:tr w:rsidR="00D878BD" w:rsidRPr="000B31FA" w14:paraId="34463C8C" w14:textId="77777777" w:rsidTr="008B5723">
        <w:trPr>
          <w:trHeight w:val="850"/>
        </w:trPr>
        <w:tc>
          <w:tcPr>
            <w:tcW w:w="0" w:type="auto"/>
            <w:hideMark/>
          </w:tcPr>
          <w:p w14:paraId="2699BFD5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System Operator (</w:t>
            </w:r>
            <w:r w:rsidRPr="000B31FA">
              <w:rPr>
                <w:rFonts w:cstheme="minorHAnsi"/>
                <w:sz w:val="22"/>
                <w:szCs w:val="22"/>
              </w:rPr>
              <w:t>SO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0B31FA">
              <w:rPr>
                <w:rFonts w:cstheme="minorHAnsi"/>
                <w:sz w:val="22"/>
                <w:szCs w:val="22"/>
              </w:rPr>
              <w:t>-</w:t>
            </w:r>
            <w:proofErr w:type="gramStart"/>
            <w:r w:rsidRPr="000B31FA">
              <w:rPr>
                <w:rFonts w:cstheme="minorHAnsi"/>
                <w:sz w:val="22"/>
                <w:szCs w:val="22"/>
              </w:rPr>
              <w:t>SO</w:t>
            </w:r>
            <w:proofErr w:type="gramEnd"/>
            <w:r w:rsidRPr="000B31FA">
              <w:rPr>
                <w:rFonts w:cstheme="minorHAnsi"/>
                <w:sz w:val="22"/>
                <w:szCs w:val="22"/>
              </w:rPr>
              <w:t xml:space="preserve"> trade in cost order​​</w:t>
            </w:r>
          </w:p>
        </w:tc>
        <w:tc>
          <w:tcPr>
            <w:tcW w:w="1134" w:type="dxa"/>
            <w:hideMark/>
          </w:tcPr>
          <w:p w14:paraId="73611555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Cost​​</w:t>
            </w:r>
          </w:p>
        </w:tc>
        <w:tc>
          <w:tcPr>
            <w:tcW w:w="4354" w:type="dxa"/>
            <w:hideMark/>
          </w:tcPr>
          <w:p w14:paraId="6E7C5E9A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proofErr w:type="gramStart"/>
            <w:r w:rsidRPr="000B31FA">
              <w:rPr>
                <w:rFonts w:cstheme="minorHAnsi"/>
                <w:sz w:val="22"/>
                <w:szCs w:val="22"/>
              </w:rPr>
              <w:t>SO</w:t>
            </w:r>
            <w:proofErr w:type="gramEnd"/>
            <w:r w:rsidRPr="000B31FA">
              <w:rPr>
                <w:rFonts w:cstheme="minorHAnsi"/>
                <w:sz w:val="22"/>
                <w:szCs w:val="22"/>
              </w:rPr>
              <w:t> to SO trade with other SO in Europe/ Ireland​​.</w:t>
            </w:r>
          </w:p>
        </w:tc>
      </w:tr>
      <w:tr w:rsidR="00D878BD" w:rsidRPr="000B31FA" w14:paraId="4E364DBB" w14:textId="77777777" w:rsidTr="008B5723">
        <w:trPr>
          <w:trHeight w:val="850"/>
        </w:trPr>
        <w:tc>
          <w:tcPr>
            <w:tcW w:w="0" w:type="auto"/>
          </w:tcPr>
          <w:p w14:paraId="058D916B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Instruct Demand Flexibility product</w:t>
            </w:r>
          </w:p>
        </w:tc>
        <w:tc>
          <w:tcPr>
            <w:tcW w:w="1134" w:type="dxa"/>
          </w:tcPr>
          <w:p w14:paraId="23105F15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#1 based on Cost</w:t>
            </w:r>
          </w:p>
        </w:tc>
        <w:tc>
          <w:tcPr>
            <w:tcW w:w="4354" w:type="dxa"/>
          </w:tcPr>
          <w:p w14:paraId="461C7EB9" w14:textId="77777777" w:rsidR="00D878BD" w:rsidRPr="000B31FA" w:rsidRDefault="00D878BD" w:rsidP="008B5723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sz w:val="22"/>
                <w:szCs w:val="22"/>
              </w:rPr>
              <w:t>For predominantly peak periods (16:00 to 19:00) activated within day.</w:t>
            </w:r>
          </w:p>
        </w:tc>
      </w:tr>
    </w:tbl>
    <w:p w14:paraId="45045E28" w14:textId="77777777" w:rsidR="001709F3" w:rsidRDefault="001709F3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7Colorful"/>
        <w:tblpPr w:leftFromText="180" w:rightFromText="180" w:vertAnchor="page" w:horzAnchor="margin" w:tblpY="6151"/>
        <w:tblW w:w="9776" w:type="dxa"/>
        <w:tblLayout w:type="fixed"/>
        <w:tblLook w:val="0600" w:firstRow="0" w:lastRow="0" w:firstColumn="0" w:lastColumn="0" w:noHBand="1" w:noVBand="1"/>
      </w:tblPr>
      <w:tblGrid>
        <w:gridCol w:w="4248"/>
        <w:gridCol w:w="1134"/>
        <w:gridCol w:w="4394"/>
      </w:tblGrid>
      <w:tr w:rsidR="00217747" w:rsidRPr="000B31FA" w14:paraId="356804BA" w14:textId="77777777" w:rsidTr="00217747">
        <w:trPr>
          <w:trHeight w:val="850"/>
        </w:trPr>
        <w:tc>
          <w:tcPr>
            <w:tcW w:w="4248" w:type="dxa"/>
            <w:hideMark/>
          </w:tcPr>
          <w:p w14:paraId="0479223F" w14:textId="77777777" w:rsidR="00217747" w:rsidRPr="000B31FA" w:rsidRDefault="00217747" w:rsidP="00217747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Enhanced Actions </w:t>
            </w:r>
          </w:p>
          <w:p w14:paraId="36237BE4" w14:textId="77777777" w:rsidR="00217747" w:rsidRPr="000B31FA" w:rsidRDefault="00217747" w:rsidP="0021774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everyday actions are insufficient)​​</w:t>
            </w:r>
          </w:p>
        </w:tc>
        <w:tc>
          <w:tcPr>
            <w:tcW w:w="1134" w:type="dxa"/>
            <w:hideMark/>
          </w:tcPr>
          <w:p w14:paraId="0A54ABBA" w14:textId="77777777" w:rsidR="00217747" w:rsidRPr="000B31FA" w:rsidRDefault="00217747" w:rsidP="0021774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​​</w:t>
            </w:r>
          </w:p>
        </w:tc>
        <w:tc>
          <w:tcPr>
            <w:tcW w:w="4394" w:type="dxa"/>
            <w:hideMark/>
          </w:tcPr>
          <w:p w14:paraId="6D4CC680" w14:textId="77777777" w:rsidR="00217747" w:rsidRPr="000B31FA" w:rsidRDefault="00217747" w:rsidP="0021774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Comments​​</w:t>
            </w:r>
          </w:p>
        </w:tc>
      </w:tr>
      <w:tr w:rsidR="00217747" w:rsidRPr="000B31FA" w14:paraId="28A50385" w14:textId="77777777" w:rsidTr="00217747">
        <w:trPr>
          <w:trHeight w:val="1410"/>
        </w:trPr>
        <w:tc>
          <w:tcPr>
            <w:tcW w:w="4248" w:type="dxa"/>
            <w:hideMark/>
          </w:tcPr>
          <w:p w14:paraId="728A2085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Recall </w:t>
            </w:r>
            <w:r>
              <w:rPr>
                <w:rFonts w:cstheme="minorHAnsi"/>
                <w:color w:val="auto"/>
                <w:sz w:val="22"/>
                <w:szCs w:val="22"/>
              </w:rPr>
              <w:t>Transmission Owner (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>TO</w:t>
            </w:r>
            <w:r>
              <w:rPr>
                <w:rFonts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assets from outage to increase network availability and available capacity​​</w:t>
            </w:r>
          </w:p>
        </w:tc>
        <w:tc>
          <w:tcPr>
            <w:tcW w:w="1134" w:type="dxa"/>
            <w:hideMark/>
          </w:tcPr>
          <w:p w14:paraId="380E7D10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#2​</w:t>
            </w:r>
          </w:p>
        </w:tc>
        <w:tc>
          <w:tcPr>
            <w:tcW w:w="4394" w:type="dxa"/>
            <w:hideMark/>
          </w:tcPr>
          <w:p w14:paraId="1EE09446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Anytime through to control room timescales, depending on ERTS (Emergency Return to Service) time​​.</w:t>
            </w:r>
          </w:p>
        </w:tc>
      </w:tr>
      <w:tr w:rsidR="00217747" w:rsidRPr="000B31FA" w14:paraId="0B0DA510" w14:textId="77777777" w:rsidTr="00217747">
        <w:trPr>
          <w:trHeight w:val="1020"/>
        </w:trPr>
        <w:tc>
          <w:tcPr>
            <w:tcW w:w="4248" w:type="dxa"/>
            <w:vAlign w:val="center"/>
          </w:tcPr>
          <w:p w14:paraId="5D84C0BC" w14:textId="62FFC90A" w:rsidR="00217747" w:rsidRPr="000B31FA" w:rsidRDefault="00217747" w:rsidP="00217747">
            <w:pPr>
              <w:pStyle w:val="BodyText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 xml:space="preserve">Intraday Trading Limit (ITL) </w:t>
            </w:r>
            <w:r w:rsidR="00513DB5">
              <w:rPr>
                <w:rFonts w:cstheme="minorHAnsi"/>
                <w:color w:val="auto"/>
                <w:sz w:val="22"/>
                <w:szCs w:val="22"/>
              </w:rPr>
              <w:t xml:space="preserve">and 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Net Transfer Capacity (NTC) restrictions </w:t>
            </w:r>
          </w:p>
        </w:tc>
        <w:tc>
          <w:tcPr>
            <w:tcW w:w="1134" w:type="dxa"/>
          </w:tcPr>
          <w:p w14:paraId="48E2C7B6" w14:textId="77777777" w:rsidR="00217747" w:rsidRPr="000B31FA" w:rsidRDefault="00217747" w:rsidP="00217747">
            <w:pPr>
              <w:pStyle w:val="BodyText"/>
              <w:rPr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</w:rPr>
              <w:t>#3</w:t>
            </w:r>
          </w:p>
        </w:tc>
        <w:tc>
          <w:tcPr>
            <w:tcW w:w="4394" w:type="dxa"/>
          </w:tcPr>
          <w:p w14:paraId="3F145BAC" w14:textId="17FDCBA0" w:rsidR="00217747" w:rsidRPr="004E0072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Required to ensure interconnectors flows remain within operation</w:t>
            </w:r>
            <w:r w:rsidR="00407A76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al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security limits. Used as a last resort after all </w:t>
            </w:r>
            <w:r w:rsidR="00AF7E0F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available 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commercial actions and system optimisations have been taken</w:t>
            </w:r>
            <w:r w:rsidR="00B31709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,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</w:t>
            </w:r>
            <w:r w:rsidR="00375AA1" w:rsidRPr="00B31709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accounting for the difference in timing of different actions and the information that </w:t>
            </w:r>
            <w:r w:rsidR="00655963">
              <w:rPr>
                <w:rFonts w:eastAsia="Times New Roman" w:cstheme="minorHAnsi"/>
                <w:color w:val="auto"/>
                <w:sz w:val="22"/>
                <w:szCs w:val="22"/>
              </w:rPr>
              <w:t>N</w:t>
            </w:r>
            <w:r w:rsidR="00375AA1" w:rsidRPr="00B31709">
              <w:rPr>
                <w:rFonts w:eastAsia="Times New Roman" w:cstheme="minorHAnsi"/>
                <w:color w:val="auto"/>
                <w:sz w:val="22"/>
                <w:szCs w:val="22"/>
              </w:rPr>
              <w:t>ESO has available at those times</w:t>
            </w:r>
            <w:r w:rsidR="00375AA1" w:rsidRPr="0064671C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. </w:t>
            </w:r>
            <w:r w:rsidR="0064671C" w:rsidRPr="0064671C">
              <w:rPr>
                <w:rFonts w:eastAsia="Times New Roman" w:cstheme="minorHAnsi"/>
                <w:color w:val="auto"/>
                <w:sz w:val="22"/>
                <w:szCs w:val="22"/>
              </w:rPr>
              <w:t>As well as being used to secure network constraints and rapid frequency deviations, ITLs and NTCs c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an be use</w:t>
            </w:r>
            <w:r w:rsidR="005F4850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d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for margin extremes when an interconnector flow c</w:t>
            </w:r>
            <w:r w:rsidR="0064671C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ould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result in an </w:t>
            </w:r>
            <w:r w:rsidRPr="001D193C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E</w:t>
            </w:r>
            <w:r w:rsidRPr="001D193C">
              <w:rPr>
                <w:rStyle w:val="xui-provider"/>
                <w:rFonts w:eastAsia="Times New Roman"/>
                <w:sz w:val="22"/>
                <w:szCs w:val="22"/>
              </w:rPr>
              <w:t>lectricity Margin Notice</w:t>
            </w:r>
            <w:r>
              <w:rPr>
                <w:rStyle w:val="xui-provider"/>
                <w:rFonts w:eastAsia="Times New Roman"/>
              </w:rPr>
              <w:t xml:space="preserve"> (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EMN</w:t>
            </w:r>
            <w:r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or </w:t>
            </w:r>
            <w:r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High Risk of Demand Reduction (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HRDR</w:t>
            </w:r>
            <w:r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)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being issued (this is detailed further in </w:t>
            </w:r>
            <w:r w:rsidR="00D119F6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>NESO’s</w:t>
            </w:r>
            <w:r w:rsidRPr="000B31FA">
              <w:rPr>
                <w:rStyle w:val="xui-provider"/>
                <w:rFonts w:eastAsia="Times New Roman" w:cstheme="minorHAnsi"/>
                <w:color w:val="auto"/>
                <w:sz w:val="22"/>
                <w:szCs w:val="22"/>
              </w:rPr>
              <w:t xml:space="preserve"> NTC policies).</w:t>
            </w:r>
          </w:p>
        </w:tc>
      </w:tr>
      <w:tr w:rsidR="00217747" w:rsidRPr="000B31FA" w14:paraId="24786AAA" w14:textId="77777777" w:rsidTr="00217747">
        <w:trPr>
          <w:trHeight w:val="1020"/>
        </w:trPr>
        <w:tc>
          <w:tcPr>
            <w:tcW w:w="4248" w:type="dxa"/>
            <w:hideMark/>
          </w:tcPr>
          <w:p w14:paraId="2582068B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Use of Emergency Assistance (EA) from other SO​</w:t>
            </w:r>
          </w:p>
        </w:tc>
        <w:tc>
          <w:tcPr>
            <w:tcW w:w="1134" w:type="dxa"/>
            <w:hideMark/>
          </w:tcPr>
          <w:p w14:paraId="0841D106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4</w:t>
            </w:r>
            <w:r w:rsidRPr="000B31FA">
              <w:rPr>
                <w:rFonts w:cstheme="minorHAnsi"/>
                <w:color w:val="auto"/>
                <w:sz w:val="22"/>
                <w:szCs w:val="22"/>
              </w:rPr>
              <w:t>​</w:t>
            </w:r>
          </w:p>
        </w:tc>
        <w:tc>
          <w:tcPr>
            <w:tcW w:w="4394" w:type="dxa"/>
            <w:hideMark/>
          </w:tcPr>
          <w:p w14:paraId="5FFC9471" w14:textId="77777777" w:rsidR="00217747" w:rsidRPr="004E0072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4E0072">
              <w:rPr>
                <w:rFonts w:cstheme="minorHAnsi"/>
                <w:sz w:val="22"/>
                <w:szCs w:val="22"/>
              </w:rPr>
              <w:t>Enacted close to real-time. Only applicable if capacity is available on interconnectors​. EA can be withdrawn at any time​ by the other SO.</w:t>
            </w:r>
          </w:p>
          <w:p w14:paraId="77D794E7" w14:textId="77777777" w:rsidR="00217747" w:rsidRPr="000B31FA" w:rsidRDefault="00217747" w:rsidP="00217747">
            <w:pPr>
              <w:pStyle w:val="BodyText"/>
              <w:rPr>
                <w:rFonts w:cstheme="minorHAnsi"/>
                <w:sz w:val="22"/>
                <w:szCs w:val="22"/>
              </w:rPr>
            </w:pPr>
          </w:p>
        </w:tc>
      </w:tr>
    </w:tbl>
    <w:p w14:paraId="24A259DB" w14:textId="77777777" w:rsidR="00D878BD" w:rsidRDefault="00D878BD" w:rsidP="000E1DE7">
      <w:pPr>
        <w:pStyle w:val="BodyText"/>
        <w:rPr>
          <w:rFonts w:cstheme="minorHAnsi"/>
          <w:sz w:val="22"/>
          <w:szCs w:val="22"/>
        </w:rPr>
      </w:pPr>
    </w:p>
    <w:p w14:paraId="42740BF9" w14:textId="77777777" w:rsidR="00D878BD" w:rsidRDefault="00D878BD" w:rsidP="000E1DE7">
      <w:pPr>
        <w:pStyle w:val="BodyText"/>
        <w:rPr>
          <w:rFonts w:cstheme="minorHAnsi"/>
          <w:sz w:val="22"/>
          <w:szCs w:val="22"/>
        </w:rPr>
      </w:pPr>
    </w:p>
    <w:p w14:paraId="736F143B" w14:textId="77777777" w:rsidR="00C67D74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3FA89195" w14:textId="77777777" w:rsidR="00C67D74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4E13C1FF" w14:textId="77777777" w:rsidR="00C67D74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7444C4E5" w14:textId="77777777" w:rsidR="00C67D74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7F165FC4" w14:textId="77777777" w:rsidR="00D878BD" w:rsidRPr="000B31FA" w:rsidRDefault="00D878BD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4411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D878BD" w:rsidRPr="000B31FA" w14:paraId="1E9E4B6C" w14:textId="77777777" w:rsidTr="00EA58E7">
        <w:trPr>
          <w:trHeight w:val="850"/>
        </w:trPr>
        <w:tc>
          <w:tcPr>
            <w:tcW w:w="3788" w:type="dxa"/>
            <w:hideMark/>
          </w:tcPr>
          <w:p w14:paraId="15EBB09A" w14:textId="77777777" w:rsidR="00D878BD" w:rsidRPr="000B31FA" w:rsidRDefault="00D878BD" w:rsidP="00EA58E7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Emergency Actions​ </w:t>
            </w:r>
          </w:p>
          <w:p w14:paraId="0DE2AF8F" w14:textId="56D452D0" w:rsidR="00D878BD" w:rsidRPr="000B31FA" w:rsidRDefault="00182C78" w:rsidP="00EA58E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D878BD"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enhanced actions are insufficient)</w:t>
            </w:r>
          </w:p>
        </w:tc>
        <w:tc>
          <w:tcPr>
            <w:tcW w:w="885" w:type="dxa"/>
            <w:hideMark/>
          </w:tcPr>
          <w:p w14:paraId="4C75A97C" w14:textId="77777777" w:rsidR="00D878BD" w:rsidRPr="000B31FA" w:rsidRDefault="00D878BD" w:rsidP="00EA58E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hideMark/>
          </w:tcPr>
          <w:p w14:paraId="58F3DE26" w14:textId="77777777" w:rsidR="00D878BD" w:rsidRPr="000B31FA" w:rsidRDefault="00D878BD" w:rsidP="00EA58E7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D878BD" w:rsidRPr="000B31FA" w14:paraId="2CB5A057" w14:textId="77777777" w:rsidTr="00EA58E7">
        <w:trPr>
          <w:trHeight w:val="695"/>
        </w:trPr>
        <w:tc>
          <w:tcPr>
            <w:tcW w:w="3788" w:type="dxa"/>
            <w:hideMark/>
          </w:tcPr>
          <w:p w14:paraId="39C02C20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Emergency Instruction (EI) to other SO</w:t>
            </w:r>
          </w:p>
        </w:tc>
        <w:tc>
          <w:tcPr>
            <w:tcW w:w="885" w:type="dxa"/>
            <w:hideMark/>
          </w:tcPr>
          <w:p w14:paraId="1C69A2D1" w14:textId="33FDAAAA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 w:rsidR="006568CC">
              <w:rPr>
                <w:rFonts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4961" w:type="dxa"/>
            <w:hideMark/>
          </w:tcPr>
          <w:p w14:paraId="1B97E194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Only applicable if this does not cause demand control in the interconnected countries.</w:t>
            </w:r>
          </w:p>
        </w:tc>
      </w:tr>
      <w:tr w:rsidR="00D878BD" w:rsidRPr="000B31FA" w14:paraId="239CFFA6" w14:textId="77777777" w:rsidTr="00EA58E7">
        <w:trPr>
          <w:trHeight w:val="964"/>
        </w:trPr>
        <w:tc>
          <w:tcPr>
            <w:tcW w:w="3788" w:type="dxa"/>
            <w:hideMark/>
          </w:tcPr>
          <w:p w14:paraId="4ED4FE93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Use of </w:t>
            </w:r>
            <w:proofErr w:type="spellStart"/>
            <w:r w:rsidRPr="000B31FA">
              <w:rPr>
                <w:rFonts w:cstheme="minorHAnsi"/>
                <w:color w:val="auto"/>
                <w:sz w:val="22"/>
                <w:szCs w:val="22"/>
              </w:rPr>
              <w:t>MaxGen</w:t>
            </w:r>
            <w:proofErr w:type="spellEnd"/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hideMark/>
          </w:tcPr>
          <w:p w14:paraId="5C37267E" w14:textId="14B87B28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 w:rsidR="006568CC">
              <w:rPr>
                <w:rFonts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4961" w:type="dxa"/>
            <w:hideMark/>
          </w:tcPr>
          <w:p w14:paraId="4ACC887D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 xml:space="preserve">This should be used at the same time as EI to other SO. This service will be initiated by the issuing of an Emergency Instruction. </w:t>
            </w:r>
          </w:p>
        </w:tc>
      </w:tr>
      <w:tr w:rsidR="00D878BD" w:rsidRPr="000B31FA" w14:paraId="797EBBC1" w14:textId="77777777" w:rsidTr="00EA58E7">
        <w:trPr>
          <w:trHeight w:val="1020"/>
        </w:trPr>
        <w:tc>
          <w:tcPr>
            <w:tcW w:w="3788" w:type="dxa"/>
            <w:hideMark/>
          </w:tcPr>
          <w:p w14:paraId="59084DC8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OC6.5.3 Fast Demand Control instructions to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Distribution Network Operators (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DNOs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885" w:type="dxa"/>
            <w:hideMark/>
          </w:tcPr>
          <w:p w14:paraId="2E9CE0A0" w14:textId="023BD703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 w:rsidR="00622B1C">
              <w:rPr>
                <w:rFonts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4961" w:type="dxa"/>
            <w:hideMark/>
          </w:tcPr>
          <w:p w14:paraId="53623456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This could be via voltage control or demand control of fast disconnection blocks up to 20%, protecting critical sites.</w:t>
            </w:r>
          </w:p>
        </w:tc>
      </w:tr>
      <w:tr w:rsidR="00D878BD" w:rsidRPr="000B31FA" w14:paraId="7CDD96FC" w14:textId="77777777" w:rsidTr="00EA58E7">
        <w:trPr>
          <w:trHeight w:val="1247"/>
        </w:trPr>
        <w:tc>
          <w:tcPr>
            <w:tcW w:w="3788" w:type="dxa"/>
            <w:hideMark/>
          </w:tcPr>
          <w:p w14:paraId="0DF5C644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OC6.5.4. Demand Control Rotation Protocol</w:t>
            </w:r>
          </w:p>
        </w:tc>
        <w:tc>
          <w:tcPr>
            <w:tcW w:w="885" w:type="dxa"/>
            <w:hideMark/>
          </w:tcPr>
          <w:p w14:paraId="28C3C897" w14:textId="393BB540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 w:rsidR="00622B1C">
              <w:rPr>
                <w:rFonts w:cstheme="minorHAnsi"/>
                <w:color w:val="auto"/>
                <w:sz w:val="22"/>
                <w:szCs w:val="22"/>
              </w:rPr>
              <w:t>7</w:t>
            </w:r>
          </w:p>
        </w:tc>
        <w:tc>
          <w:tcPr>
            <w:tcW w:w="4961" w:type="dxa"/>
            <w:hideMark/>
          </w:tcPr>
          <w:p w14:paraId="79F310EF" w14:textId="77777777" w:rsidR="00D878BD" w:rsidRPr="000B31FA" w:rsidRDefault="00D878BD" w:rsidP="00EA58E7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In-day </w:t>
            </w:r>
            <w:proofErr w:type="spellStart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rota’d</w:t>
            </w:r>
            <w:proofErr w:type="spellEnd"/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 demand control disconnections up to 40%, protecting critical sites. 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N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ESO has emergency powers to do this, when approved by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 xml:space="preserve">NESO’s 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 xml:space="preserve">Gold </w:t>
            </w:r>
            <w:r>
              <w:rPr>
                <w:rFonts w:eastAsia="Times New Roman" w:cstheme="minorHAnsi"/>
                <w:color w:val="auto"/>
                <w:sz w:val="22"/>
                <w:szCs w:val="22"/>
              </w:rPr>
              <w:t>Crisis Management Team</w:t>
            </w:r>
            <w:r w:rsidRPr="000B31FA">
              <w:rPr>
                <w:rFonts w:eastAsia="Times New Roman" w:cstheme="minorHAnsi"/>
                <w:color w:val="auto"/>
                <w:sz w:val="22"/>
                <w:szCs w:val="22"/>
              </w:rPr>
              <w:t>.</w:t>
            </w:r>
          </w:p>
        </w:tc>
      </w:tr>
    </w:tbl>
    <w:p w14:paraId="7CF8973B" w14:textId="77777777" w:rsidR="000E1DE7" w:rsidRDefault="000E1DE7" w:rsidP="000E1DE7">
      <w:pPr>
        <w:pStyle w:val="BodyText"/>
        <w:rPr>
          <w:rFonts w:cstheme="minorHAnsi"/>
          <w:sz w:val="22"/>
          <w:szCs w:val="22"/>
        </w:rPr>
      </w:pPr>
    </w:p>
    <w:p w14:paraId="5CADE931" w14:textId="77777777" w:rsidR="00C67D74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70D688CF" w14:textId="77777777" w:rsidR="00C67D74" w:rsidRPr="000B31FA" w:rsidRDefault="00C67D74" w:rsidP="000E1DE7">
      <w:pPr>
        <w:pStyle w:val="BodyText"/>
        <w:rPr>
          <w:rFonts w:cstheme="minorHAnsi"/>
          <w:sz w:val="22"/>
          <w:szCs w:val="22"/>
        </w:rPr>
      </w:pPr>
    </w:p>
    <w:p w14:paraId="3DEBA88C" w14:textId="7478B448" w:rsidR="000E1DE7" w:rsidRPr="000B31FA" w:rsidRDefault="000E1DE7" w:rsidP="000E1DE7">
      <w:pPr>
        <w:rPr>
          <w:rFonts w:cstheme="minorHAnsi"/>
        </w:rPr>
      </w:pPr>
    </w:p>
    <w:p w14:paraId="14ADD728" w14:textId="77777777" w:rsidR="000E1DE7" w:rsidRDefault="000E1DE7" w:rsidP="000E1DE7">
      <w:pPr>
        <w:pStyle w:val="BodyText"/>
        <w:rPr>
          <w:rFonts w:cstheme="minorHAnsi"/>
          <w:sz w:val="22"/>
          <w:szCs w:val="22"/>
        </w:rPr>
      </w:pPr>
    </w:p>
    <w:tbl>
      <w:tblPr>
        <w:tblStyle w:val="GridTable4"/>
        <w:tblpPr w:leftFromText="180" w:rightFromText="180" w:vertAnchor="page" w:horzAnchor="margin" w:tblpY="9811"/>
        <w:tblOverlap w:val="never"/>
        <w:tblW w:w="9634" w:type="dxa"/>
        <w:tblLook w:val="0600" w:firstRow="0" w:lastRow="0" w:firstColumn="0" w:lastColumn="0" w:noHBand="1" w:noVBand="1"/>
      </w:tblPr>
      <w:tblGrid>
        <w:gridCol w:w="3788"/>
        <w:gridCol w:w="885"/>
        <w:gridCol w:w="4961"/>
      </w:tblGrid>
      <w:tr w:rsidR="00D5266B" w:rsidRPr="000B31FA" w14:paraId="3740D81C" w14:textId="77777777" w:rsidTr="00D5266B">
        <w:trPr>
          <w:trHeight w:val="850"/>
        </w:trPr>
        <w:tc>
          <w:tcPr>
            <w:tcW w:w="3788" w:type="dxa"/>
            <w:hideMark/>
          </w:tcPr>
          <w:p w14:paraId="49D4AB74" w14:textId="77777777" w:rsidR="00D5266B" w:rsidRPr="000B31FA" w:rsidRDefault="00D5266B" w:rsidP="00D5266B">
            <w:pPr>
              <w:pStyle w:val="BodyText"/>
              <w:jc w:val="center"/>
              <w:rPr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 xml:space="preserve">Emergency Powers​ </w:t>
            </w:r>
          </w:p>
          <w:p w14:paraId="7EC24E3D" w14:textId="77777777" w:rsidR="00D5266B" w:rsidRPr="000B31FA" w:rsidRDefault="00D5266B" w:rsidP="00D5266B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(If emergency actions are insufficient)</w:t>
            </w:r>
          </w:p>
        </w:tc>
        <w:tc>
          <w:tcPr>
            <w:tcW w:w="885" w:type="dxa"/>
            <w:hideMark/>
          </w:tcPr>
          <w:p w14:paraId="7F4076D6" w14:textId="77777777" w:rsidR="00D5266B" w:rsidRPr="000B31FA" w:rsidRDefault="00D5266B" w:rsidP="00D5266B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Order ​</w:t>
            </w:r>
          </w:p>
        </w:tc>
        <w:tc>
          <w:tcPr>
            <w:tcW w:w="4961" w:type="dxa"/>
            <w:hideMark/>
          </w:tcPr>
          <w:p w14:paraId="671BF989" w14:textId="77777777" w:rsidR="00D5266B" w:rsidRPr="000B31FA" w:rsidRDefault="00D5266B" w:rsidP="00D5266B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Comments​</w:t>
            </w:r>
          </w:p>
        </w:tc>
      </w:tr>
      <w:tr w:rsidR="00D5266B" w:rsidRPr="000B31FA" w14:paraId="18AD1B71" w14:textId="77777777" w:rsidTr="00D5266B">
        <w:trPr>
          <w:trHeight w:val="1410"/>
        </w:trPr>
        <w:tc>
          <w:tcPr>
            <w:tcW w:w="3788" w:type="dxa"/>
            <w:hideMark/>
          </w:tcPr>
          <w:p w14:paraId="4DAF6DC2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Recommend </w:t>
            </w:r>
            <w:proofErr w:type="gram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to</w:t>
            </w:r>
            <w:proofErr w:type="gram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Department of Energy Security and Net Zero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DESNZ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implement 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the Electricity Supply Emergency Code (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885" w:type="dxa"/>
            <w:hideMark/>
          </w:tcPr>
          <w:p w14:paraId="5E127F2C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961" w:type="dxa"/>
            <w:hideMark/>
          </w:tcPr>
          <w:p w14:paraId="06A590B5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Ongoing conversations prior to this so all parties would be aware of risk.</w:t>
            </w:r>
          </w:p>
        </w:tc>
      </w:tr>
      <w:tr w:rsidR="00D5266B" w:rsidRPr="000B31FA" w14:paraId="4A63507D" w14:textId="77777777" w:rsidTr="00D5266B">
        <w:trPr>
          <w:trHeight w:val="964"/>
        </w:trPr>
        <w:tc>
          <w:tcPr>
            <w:tcW w:w="3788" w:type="dxa"/>
            <w:hideMark/>
          </w:tcPr>
          <w:p w14:paraId="44026D8E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ESEC instructed by DESNZ</w:t>
            </w:r>
          </w:p>
        </w:tc>
        <w:tc>
          <w:tcPr>
            <w:tcW w:w="885" w:type="dxa"/>
            <w:hideMark/>
          </w:tcPr>
          <w:p w14:paraId="2C31C092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</w:rPr>
              <w:t>#</w:t>
            </w:r>
            <w:r>
              <w:rPr>
                <w:rFonts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961" w:type="dxa"/>
            <w:hideMark/>
          </w:tcPr>
          <w:p w14:paraId="0BB56EAB" w14:textId="77777777" w:rsidR="00D5266B" w:rsidRPr="000B31FA" w:rsidRDefault="00D5266B" w:rsidP="00D5266B">
            <w:pPr>
              <w:pStyle w:val="Body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ESO </w:t>
            </w:r>
            <w:proofErr w:type="gram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implement</w:t>
            </w:r>
            <w:proofErr w:type="gram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rota</w:t>
            </w:r>
            <w:proofErr w:type="spellEnd"/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disconnections within ESEC framework, likely with 48h notice. Demand Control greater than 40%.</w:t>
            </w:r>
          </w:p>
        </w:tc>
      </w:tr>
    </w:tbl>
    <w:p w14:paraId="1DF1011D" w14:textId="77777777" w:rsidR="00F44A07" w:rsidRPr="000B31FA" w:rsidRDefault="00F44A07" w:rsidP="000E1DE7">
      <w:pPr>
        <w:pStyle w:val="BodyText"/>
        <w:rPr>
          <w:rFonts w:cstheme="minorHAnsi"/>
          <w:sz w:val="22"/>
          <w:szCs w:val="22"/>
        </w:rPr>
      </w:pPr>
    </w:p>
    <w:p w14:paraId="4BE1AC13" w14:textId="77777777" w:rsidR="00DA2D65" w:rsidRDefault="00DA2D65" w:rsidP="00E26402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0F2EDA75" w14:textId="77777777" w:rsidR="00D878BD" w:rsidRDefault="00D878BD" w:rsidP="00D878BD">
      <w:pPr>
        <w:pStyle w:val="BodyText"/>
      </w:pPr>
    </w:p>
    <w:p w14:paraId="1BC7B20F" w14:textId="77777777" w:rsidR="00D878BD" w:rsidRDefault="00D878BD" w:rsidP="00D878BD">
      <w:pPr>
        <w:pStyle w:val="BodyText"/>
      </w:pPr>
    </w:p>
    <w:p w14:paraId="346B7A03" w14:textId="77777777" w:rsidR="00D878BD" w:rsidRDefault="00D878BD" w:rsidP="00D878BD">
      <w:pPr>
        <w:pStyle w:val="BodyText"/>
      </w:pPr>
    </w:p>
    <w:p w14:paraId="6D214065" w14:textId="77777777" w:rsidR="00D878BD" w:rsidRDefault="00D878BD" w:rsidP="00D878BD">
      <w:pPr>
        <w:pStyle w:val="BodyText"/>
      </w:pPr>
    </w:p>
    <w:p w14:paraId="17C6F6E1" w14:textId="77777777" w:rsidR="00D878BD" w:rsidRDefault="00D878BD" w:rsidP="00D878BD">
      <w:pPr>
        <w:pStyle w:val="BodyText"/>
      </w:pPr>
    </w:p>
    <w:p w14:paraId="795B211F" w14:textId="77777777" w:rsidR="00D878BD" w:rsidRDefault="00D878BD" w:rsidP="00D878BD">
      <w:pPr>
        <w:pStyle w:val="BodyText"/>
      </w:pPr>
    </w:p>
    <w:p w14:paraId="3C99704B" w14:textId="77777777" w:rsidR="00D878BD" w:rsidRDefault="00D878BD" w:rsidP="00D878BD">
      <w:pPr>
        <w:pStyle w:val="BodyText"/>
      </w:pPr>
    </w:p>
    <w:tbl>
      <w:tblPr>
        <w:tblStyle w:val="GridTable4"/>
        <w:tblpPr w:leftFromText="180" w:rightFromText="180" w:vertAnchor="page" w:horzAnchor="margin" w:tblpY="2499"/>
        <w:tblW w:w="9634" w:type="dxa"/>
        <w:tblLook w:val="0600" w:firstRow="0" w:lastRow="0" w:firstColumn="0" w:lastColumn="0" w:noHBand="1" w:noVBand="1"/>
      </w:tblPr>
      <w:tblGrid>
        <w:gridCol w:w="3788"/>
        <w:gridCol w:w="5846"/>
      </w:tblGrid>
      <w:tr w:rsidR="00D878BD" w:rsidRPr="000B31FA" w14:paraId="7FBEB610" w14:textId="77777777" w:rsidTr="00D9212D">
        <w:trPr>
          <w:trHeight w:val="850"/>
        </w:trPr>
        <w:tc>
          <w:tcPr>
            <w:tcW w:w="3788" w:type="dxa"/>
            <w:hideMark/>
          </w:tcPr>
          <w:p w14:paraId="107FBDC4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Notices issued at any time as required</w:t>
            </w:r>
          </w:p>
        </w:tc>
        <w:tc>
          <w:tcPr>
            <w:tcW w:w="5846" w:type="dxa"/>
            <w:hideMark/>
          </w:tcPr>
          <w:p w14:paraId="0F9FC7BF" w14:textId="77777777" w:rsidR="00D878BD" w:rsidRPr="000B31FA" w:rsidRDefault="00D878BD" w:rsidP="00D878BD">
            <w:pPr>
              <w:pStyle w:val="BodyText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0B31FA">
              <w:rPr>
                <w:rFonts w:cstheme="minorHAnsi"/>
                <w:b/>
                <w:bCs/>
                <w:color w:val="auto"/>
                <w:sz w:val="22"/>
                <w:szCs w:val="22"/>
              </w:rPr>
              <w:t>Comment</w:t>
            </w:r>
          </w:p>
        </w:tc>
      </w:tr>
      <w:tr w:rsidR="00D878BD" w:rsidRPr="000B31FA" w14:paraId="62AE0A47" w14:textId="77777777" w:rsidTr="00D9212D">
        <w:trPr>
          <w:trHeight w:val="1410"/>
        </w:trPr>
        <w:tc>
          <w:tcPr>
            <w:tcW w:w="3788" w:type="dxa"/>
            <w:hideMark/>
          </w:tcPr>
          <w:p w14:paraId="525B6F2F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Electricity Margin Notice (EMN)</w:t>
            </w:r>
          </w:p>
        </w:tc>
        <w:tc>
          <w:tcPr>
            <w:tcW w:w="5846" w:type="dxa"/>
            <w:hideMark/>
          </w:tcPr>
          <w:p w14:paraId="18C54328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Request to market to increase available energy or reduce demand. Likely to be issued at Day Ahead. Updated regularly​.</w:t>
            </w:r>
          </w:p>
        </w:tc>
      </w:tr>
      <w:tr w:rsidR="00D878BD" w:rsidRPr="000B31FA" w14:paraId="77544C15" w14:textId="77777777" w:rsidTr="00D9212D">
        <w:trPr>
          <w:trHeight w:val="964"/>
        </w:trPr>
        <w:tc>
          <w:tcPr>
            <w:tcW w:w="3788" w:type="dxa"/>
            <w:hideMark/>
          </w:tcPr>
          <w:p w14:paraId="49CD4133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a High Risk of Demand Reduction (HRDR) system warning​</w:t>
            </w:r>
          </w:p>
        </w:tc>
        <w:tc>
          <w:tcPr>
            <w:tcW w:w="5846" w:type="dxa"/>
            <w:hideMark/>
          </w:tcPr>
          <w:p w14:paraId="624B219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Warning network operators of high likelihood of demand control. Further request to market to increase available energy or reduce demand. Closer to real-time than EM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N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​.</w:t>
            </w:r>
          </w:p>
        </w:tc>
      </w:tr>
      <w:tr w:rsidR="00D878BD" w:rsidRPr="000B31FA" w14:paraId="288E4C25" w14:textId="77777777" w:rsidTr="00D9212D">
        <w:trPr>
          <w:trHeight w:val="850"/>
        </w:trPr>
        <w:tc>
          <w:tcPr>
            <w:tcW w:w="3788" w:type="dxa"/>
            <w:hideMark/>
          </w:tcPr>
          <w:p w14:paraId="77F7C49A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Issue Demand Control Imminent (DCI) system warning​</w:t>
            </w:r>
          </w:p>
        </w:tc>
        <w:tc>
          <w:tcPr>
            <w:tcW w:w="5846" w:type="dxa"/>
            <w:hideMark/>
          </w:tcPr>
          <w:p w14:paraId="773E3543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If possible, this system warning will be issued 30 minutes prior to demand control. Warning to network operators​.</w:t>
            </w:r>
          </w:p>
        </w:tc>
      </w:tr>
      <w:tr w:rsidR="00D878BD" w:rsidRPr="000B31FA" w14:paraId="1C3338FB" w14:textId="77777777" w:rsidTr="00D9212D">
        <w:trPr>
          <w:trHeight w:val="850"/>
        </w:trPr>
        <w:tc>
          <w:tcPr>
            <w:tcW w:w="3788" w:type="dxa"/>
            <w:hideMark/>
          </w:tcPr>
          <w:p w14:paraId="760BE435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 Capacity Market Notice (CMN) is </w:t>
            </w:r>
            <w:r w:rsidRPr="000B31FA">
              <w:rPr>
                <w:rFonts w:cstheme="minorHAnsi"/>
                <w:color w:val="auto"/>
                <w:sz w:val="22"/>
                <w:szCs w:val="22"/>
                <w:u w:val="single"/>
                <w:lang w:val="en-US"/>
              </w:rPr>
              <w:t>automatically triggered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to alert C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apacity 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M</w:t>
            </w:r>
            <w:r>
              <w:rPr>
                <w:rFonts w:cstheme="minorHAnsi"/>
                <w:color w:val="auto"/>
                <w:sz w:val="22"/>
                <w:szCs w:val="22"/>
                <w:lang w:val="en-US"/>
              </w:rPr>
              <w:t>arket</w:t>
            </w: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 xml:space="preserve"> participants​</w:t>
            </w:r>
          </w:p>
        </w:tc>
        <w:tc>
          <w:tcPr>
            <w:tcW w:w="5846" w:type="dxa"/>
            <w:hideMark/>
          </w:tcPr>
          <w:p w14:paraId="413EAB02" w14:textId="77777777" w:rsidR="00D878BD" w:rsidRPr="000B31FA" w:rsidRDefault="00D878BD" w:rsidP="00D878BD">
            <w:pPr>
              <w:pStyle w:val="BodyText"/>
              <w:rPr>
                <w:rFonts w:cstheme="minorHAnsi"/>
                <w:sz w:val="22"/>
                <w:szCs w:val="22"/>
              </w:rPr>
            </w:pPr>
            <w:r w:rsidRPr="000B31FA">
              <w:rPr>
                <w:rFonts w:cstheme="minorHAnsi"/>
                <w:color w:val="auto"/>
                <w:sz w:val="22"/>
                <w:szCs w:val="22"/>
                <w:lang w:val="en-US"/>
              </w:rPr>
              <w:t>Driven by calculation of Market data at 4 hours ahead of real time​.</w:t>
            </w:r>
          </w:p>
        </w:tc>
      </w:tr>
    </w:tbl>
    <w:p w14:paraId="711317CB" w14:textId="77777777" w:rsidR="00D878BD" w:rsidRPr="00D878BD" w:rsidRDefault="00D878BD" w:rsidP="00D9212D">
      <w:pPr>
        <w:pStyle w:val="BodyText"/>
      </w:pPr>
    </w:p>
    <w:sectPr w:rsidR="00D878BD" w:rsidRPr="00D878BD" w:rsidSect="008529D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E888" w14:textId="77777777" w:rsidR="00143BF5" w:rsidRDefault="00143BF5" w:rsidP="00A62BFF">
      <w:pPr>
        <w:spacing w:after="0"/>
      </w:pPr>
      <w:r>
        <w:separator/>
      </w:r>
    </w:p>
  </w:endnote>
  <w:endnote w:type="continuationSeparator" w:id="0">
    <w:p w14:paraId="1453DEBC" w14:textId="77777777" w:rsidR="00143BF5" w:rsidRDefault="00143BF5" w:rsidP="00A62BFF">
      <w:pPr>
        <w:spacing w:after="0"/>
      </w:pPr>
      <w:r>
        <w:continuationSeparator/>
      </w:r>
    </w:p>
  </w:endnote>
  <w:endnote w:type="continuationNotice" w:id="1">
    <w:p w14:paraId="0E807BB9" w14:textId="77777777" w:rsidR="00143BF5" w:rsidRDefault="00143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2A5E" w14:textId="77777777" w:rsidR="00B26D29" w:rsidRDefault="00F4613D" w:rsidP="00B17C6A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B45A54E" wp14:editId="79E3781A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BA2B4" w14:textId="77777777" w:rsidR="00F4613D" w:rsidRDefault="00F4613D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5A5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 filled="f" stroked="f">
              <v:textbox>
                <w:txbxContent>
                  <w:p w14:paraId="53EBA2B4" w14:textId="77777777" w:rsidR="00F4613D" w:rsidRDefault="00F4613D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C97C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ABAD30A" wp14:editId="3C3EE533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FBC29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AD30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 filled="f" stroked="f">
              <v:textbox>
                <w:txbxContent>
                  <w:p w14:paraId="1AFFBC29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6E2D" w14:textId="77777777" w:rsidR="00143BF5" w:rsidRDefault="00143BF5" w:rsidP="00A62BFF">
      <w:pPr>
        <w:spacing w:after="0"/>
      </w:pPr>
      <w:r>
        <w:separator/>
      </w:r>
    </w:p>
  </w:footnote>
  <w:footnote w:type="continuationSeparator" w:id="0">
    <w:p w14:paraId="328C4743" w14:textId="77777777" w:rsidR="00143BF5" w:rsidRDefault="00143BF5" w:rsidP="00A62BFF">
      <w:pPr>
        <w:spacing w:after="0"/>
      </w:pPr>
      <w:r>
        <w:continuationSeparator/>
      </w:r>
    </w:p>
  </w:footnote>
  <w:footnote w:type="continuationNotice" w:id="1">
    <w:p w14:paraId="12BCBE86" w14:textId="77777777" w:rsidR="00143BF5" w:rsidRDefault="00143B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8C8B" w14:textId="2DC2C32C" w:rsidR="006B17A5" w:rsidRDefault="006B17A5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3C64A79" wp14:editId="30C918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17379354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9642F" w14:textId="7A352A13" w:rsidR="006B17A5" w:rsidRPr="006B17A5" w:rsidRDefault="006B17A5" w:rsidP="006B17A5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6B17A5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64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left:0;text-align:left;margin-left:0;margin-top:0;width:55.95pt;height:35.8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" filled="f" stroked="f">
              <v:textbox style="mso-fit-shape-to-text:t" inset="20pt,15pt,0,0">
                <w:txbxContent>
                  <w:p w14:paraId="2469642F" w14:textId="7A352A13" w:rsidR="006B17A5" w:rsidRPr="006B17A5" w:rsidRDefault="006B17A5" w:rsidP="006B17A5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6B17A5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6CFA" w14:textId="7909439D" w:rsidR="00EB2BC1" w:rsidRPr="00FE7A0E" w:rsidRDefault="006B17A5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  <w:r>
      <w:rPr>
        <w:rFonts w:asciiTheme="majorHAnsi" w:hAnsiTheme="majorHAnsi" w:cstheme="majorHAnsi"/>
        <w:b/>
        <w:bCs/>
        <w14:ligatures w14:val="none"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373E8CD" wp14:editId="28A6F152">
              <wp:simplePos x="686435" y="252730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81242836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24740" w14:textId="3354526B" w:rsidR="006B17A5" w:rsidRPr="006B17A5" w:rsidRDefault="006B17A5" w:rsidP="006B17A5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6B17A5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3E8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5.95pt;height:35.85pt;z-index:25166131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" filled="f" stroked="f">
              <v:textbox style="mso-fit-shape-to-text:t" inset="20pt,15pt,0,0">
                <w:txbxContent>
                  <w:p w14:paraId="76624740" w14:textId="3354526B" w:rsidR="006B17A5" w:rsidRPr="006B17A5" w:rsidRDefault="006B17A5" w:rsidP="006B17A5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6B17A5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2BC1" w:rsidRPr="00FE7A0E">
      <w:rPr>
        <w:rFonts w:asciiTheme="majorHAnsi" w:hAnsiTheme="majorHAnsi" w:cstheme="majorHAnsi"/>
        <w:b/>
        <w:bCs/>
      </w:rPr>
      <w:drawing>
        <wp:anchor distT="0" distB="0" distL="114300" distR="114300" simplePos="0" relativeHeight="251658241" behindDoc="1" locked="0" layoutInCell="1" allowOverlap="1" wp14:anchorId="6B5101B5" wp14:editId="1DBB735E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66731B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785ACD2A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E7DB5D9" w14:textId="77777777" w:rsidR="00EB2BC1" w:rsidRPr="00FE7A0E" w:rsidRDefault="00EB2BC1" w:rsidP="00EB2BC1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  <w:p w14:paraId="47B62DC2" w14:textId="3B835C41" w:rsidR="008313D5" w:rsidRPr="00FE7A0E" w:rsidRDefault="008313D5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877E" w14:textId="0430680C" w:rsidR="00DF17EF" w:rsidRPr="00FE7A0E" w:rsidRDefault="006B17A5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  <w:r>
      <w:rPr>
        <w:rFonts w:asciiTheme="majorHAnsi" w:eastAsia="HGPMinchoE" w:hAnsiTheme="majorHAnsi" w:cstheme="majorHAnsi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501439E6" wp14:editId="1E3288AC">
              <wp:simplePos x="687629" y="256032"/>
              <wp:positionH relativeFrom="page">
                <wp:align>left</wp:align>
              </wp:positionH>
              <wp:positionV relativeFrom="page">
                <wp:align>top</wp:align>
              </wp:positionV>
              <wp:extent cx="710565" cy="455295"/>
              <wp:effectExtent l="0" t="0" r="13335" b="1905"/>
              <wp:wrapNone/>
              <wp:docPr id="13225233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56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8D11" w14:textId="4EAD93C6" w:rsidR="006B17A5" w:rsidRPr="006B17A5" w:rsidRDefault="006B17A5" w:rsidP="006B17A5">
                          <w:pPr>
                            <w:spacing w:after="0"/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</w:pPr>
                          <w:r w:rsidRPr="006B17A5">
                            <w:rPr>
                              <w:rFonts w:ascii="Poppins" w:eastAsia="Poppins" w:hAnsi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43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" style="position:absolute;margin-left:0;margin-top:0;width:55.95pt;height:35.8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" filled="f" stroked="f">
              <v:textbox style="mso-fit-shape-to-text:t" inset="20pt,15pt,0,0">
                <w:txbxContent>
                  <w:p w14:paraId="16A18D11" w14:textId="4EAD93C6" w:rsidR="006B17A5" w:rsidRPr="006B17A5" w:rsidRDefault="006B17A5" w:rsidP="006B17A5">
                    <w:pPr>
                      <w:spacing w:after="0"/>
                      <w:rPr>
                        <w:rFonts w:ascii="Poppins" w:eastAsia="Poppins" w:hAnsi="Poppins" w:cs="Poppins"/>
                        <w:noProof/>
                        <w:color w:val="FF00FF"/>
                      </w:rPr>
                    </w:pPr>
                    <w:r w:rsidRPr="006B17A5">
                      <w:rPr>
                        <w:rFonts w:ascii="Poppins" w:eastAsia="Poppins" w:hAnsi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510D" w:rsidRPr="00FE7A0E">
      <w:rPr>
        <w:rFonts w:asciiTheme="majorHAnsi" w:eastAsia="HGPMinchoE" w:hAnsiTheme="majorHAnsi" w:cstheme="majorHAnsi"/>
        <w:sz w:val="28"/>
        <w:szCs w:val="40"/>
      </w:rPr>
      <w:drawing>
        <wp:anchor distT="0" distB="0" distL="114300" distR="114300" simplePos="0" relativeHeight="251658240" behindDoc="1" locked="0" layoutInCell="1" allowOverlap="1" wp14:anchorId="26836453" wp14:editId="19AC86C4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3AB9A6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0DF0FD15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7129D80E" w14:textId="77777777" w:rsidR="00DF17EF" w:rsidRPr="00FE7A0E" w:rsidRDefault="00DF17EF" w:rsidP="00DF17EF">
    <w:pPr>
      <w:pStyle w:val="Header"/>
      <w:ind w:left="0"/>
      <w:jc w:val="left"/>
      <w:rPr>
        <w:rFonts w:asciiTheme="majorHAnsi" w:eastAsia="HGPMinchoE" w:hAnsiTheme="majorHAnsi" w:cstheme="majorHAnsi"/>
        <w:sz w:val="28"/>
        <w:szCs w:val="40"/>
      </w:rPr>
    </w:pPr>
  </w:p>
  <w:p w14:paraId="6D529196" w14:textId="5AFAD1F9" w:rsidR="00B26D29" w:rsidRPr="00FE7A0E" w:rsidRDefault="00B26D29" w:rsidP="002F4B76">
    <w:pPr>
      <w:pStyle w:val="Header"/>
      <w:ind w:left="0"/>
      <w:jc w:val="left"/>
      <w:rPr>
        <w:rFonts w:asciiTheme="majorHAnsi" w:eastAsia="HGPMinchoE" w:hAnsiTheme="majorHAnsi" w:cstheme="majorHAnsi"/>
        <w:color w:val="3F0730"/>
        <w:sz w:val="2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5BF4218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F44CB51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360ACD"/>
    <w:multiLevelType w:val="multilevel"/>
    <w:tmpl w:val="57861932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4" w15:restartNumberingAfterBreak="0">
    <w:nsid w:val="35AE1373"/>
    <w:multiLevelType w:val="hybridMultilevel"/>
    <w:tmpl w:val="63AE745A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A297C"/>
    <w:multiLevelType w:val="hybridMultilevel"/>
    <w:tmpl w:val="E12A832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17" w15:restartNumberingAfterBreak="0">
    <w:nsid w:val="6C19419A"/>
    <w:multiLevelType w:val="hybridMultilevel"/>
    <w:tmpl w:val="7B0E26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8E4D1C"/>
    <w:multiLevelType w:val="multilevel"/>
    <w:tmpl w:val="1BEC746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16"/>
  </w:num>
  <w:num w:numId="12" w16cid:durableId="351030145">
    <w:abstractNumId w:val="11"/>
  </w:num>
  <w:num w:numId="13" w16cid:durableId="784930126">
    <w:abstractNumId w:val="12"/>
  </w:num>
  <w:num w:numId="14" w16cid:durableId="101996277">
    <w:abstractNumId w:val="13"/>
  </w:num>
  <w:num w:numId="15" w16cid:durableId="744689866">
    <w:abstractNumId w:val="17"/>
  </w:num>
  <w:num w:numId="16" w16cid:durableId="1526407234">
    <w:abstractNumId w:val="15"/>
  </w:num>
  <w:num w:numId="17" w16cid:durableId="1352950697">
    <w:abstractNumId w:val="18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16361996">
    <w:abstractNumId w:val="14"/>
  </w:num>
  <w:num w:numId="19" w16cid:durableId="85612101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3D"/>
    <w:rsid w:val="0000092C"/>
    <w:rsid w:val="000017C7"/>
    <w:rsid w:val="000024AB"/>
    <w:rsid w:val="00007028"/>
    <w:rsid w:val="00011992"/>
    <w:rsid w:val="00013752"/>
    <w:rsid w:val="00015A2A"/>
    <w:rsid w:val="00021319"/>
    <w:rsid w:val="000213BA"/>
    <w:rsid w:val="000218CE"/>
    <w:rsid w:val="00021A8A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0275"/>
    <w:rsid w:val="00061FBD"/>
    <w:rsid w:val="00062681"/>
    <w:rsid w:val="00062B8A"/>
    <w:rsid w:val="00062E14"/>
    <w:rsid w:val="000638EF"/>
    <w:rsid w:val="00063CFD"/>
    <w:rsid w:val="00063FDA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52D4"/>
    <w:rsid w:val="00095BBB"/>
    <w:rsid w:val="0009609C"/>
    <w:rsid w:val="000966D4"/>
    <w:rsid w:val="00096F31"/>
    <w:rsid w:val="00097FED"/>
    <w:rsid w:val="000A1C65"/>
    <w:rsid w:val="000A2C20"/>
    <w:rsid w:val="000A4598"/>
    <w:rsid w:val="000A6F51"/>
    <w:rsid w:val="000A730E"/>
    <w:rsid w:val="000B0F9C"/>
    <w:rsid w:val="000B19B2"/>
    <w:rsid w:val="000B1B73"/>
    <w:rsid w:val="000B296B"/>
    <w:rsid w:val="000B304C"/>
    <w:rsid w:val="000B31FA"/>
    <w:rsid w:val="000B3F97"/>
    <w:rsid w:val="000B475E"/>
    <w:rsid w:val="000B4AD6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5FFD"/>
    <w:rsid w:val="000D65A7"/>
    <w:rsid w:val="000D684A"/>
    <w:rsid w:val="000E068A"/>
    <w:rsid w:val="000E1DE7"/>
    <w:rsid w:val="000E1ECB"/>
    <w:rsid w:val="000E3824"/>
    <w:rsid w:val="000E43B5"/>
    <w:rsid w:val="000E496F"/>
    <w:rsid w:val="000E5122"/>
    <w:rsid w:val="000E6380"/>
    <w:rsid w:val="000E6C6B"/>
    <w:rsid w:val="000F0182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27984"/>
    <w:rsid w:val="00130F65"/>
    <w:rsid w:val="0013208D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05C7"/>
    <w:rsid w:val="0014185A"/>
    <w:rsid w:val="001426CA"/>
    <w:rsid w:val="0014293F"/>
    <w:rsid w:val="001437AF"/>
    <w:rsid w:val="00143BF5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49A"/>
    <w:rsid w:val="00152912"/>
    <w:rsid w:val="00153066"/>
    <w:rsid w:val="001535B0"/>
    <w:rsid w:val="001536C3"/>
    <w:rsid w:val="00154713"/>
    <w:rsid w:val="00154C3B"/>
    <w:rsid w:val="00155E29"/>
    <w:rsid w:val="00157EBF"/>
    <w:rsid w:val="00162ADF"/>
    <w:rsid w:val="0016337B"/>
    <w:rsid w:val="00164401"/>
    <w:rsid w:val="0016480C"/>
    <w:rsid w:val="0016594A"/>
    <w:rsid w:val="001668BE"/>
    <w:rsid w:val="00166A57"/>
    <w:rsid w:val="0016758D"/>
    <w:rsid w:val="001709F3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2C78"/>
    <w:rsid w:val="00183AD0"/>
    <w:rsid w:val="001849AD"/>
    <w:rsid w:val="00186A6D"/>
    <w:rsid w:val="00186DF4"/>
    <w:rsid w:val="00186FE8"/>
    <w:rsid w:val="001917FE"/>
    <w:rsid w:val="001920B4"/>
    <w:rsid w:val="00192165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193C"/>
    <w:rsid w:val="001D26B9"/>
    <w:rsid w:val="001D2FA5"/>
    <w:rsid w:val="001D3612"/>
    <w:rsid w:val="001D682C"/>
    <w:rsid w:val="001D6944"/>
    <w:rsid w:val="001E1DE2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335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747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4F98"/>
    <w:rsid w:val="0023612C"/>
    <w:rsid w:val="00236931"/>
    <w:rsid w:val="00236B38"/>
    <w:rsid w:val="0024092B"/>
    <w:rsid w:val="0024129E"/>
    <w:rsid w:val="00241AA1"/>
    <w:rsid w:val="00241B4F"/>
    <w:rsid w:val="00243FD9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2E7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ADD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573"/>
    <w:rsid w:val="0029281D"/>
    <w:rsid w:val="0029334F"/>
    <w:rsid w:val="00293E01"/>
    <w:rsid w:val="0029478F"/>
    <w:rsid w:val="002968DD"/>
    <w:rsid w:val="00297C15"/>
    <w:rsid w:val="002A0F5B"/>
    <w:rsid w:val="002A21AE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C7C7D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F4B"/>
    <w:rsid w:val="002F4500"/>
    <w:rsid w:val="002F46B4"/>
    <w:rsid w:val="002F4B76"/>
    <w:rsid w:val="002F592C"/>
    <w:rsid w:val="002F6AD2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429"/>
    <w:rsid w:val="00310AB7"/>
    <w:rsid w:val="00312DD3"/>
    <w:rsid w:val="00313E6E"/>
    <w:rsid w:val="00314D99"/>
    <w:rsid w:val="00314E7F"/>
    <w:rsid w:val="0031633F"/>
    <w:rsid w:val="003179A9"/>
    <w:rsid w:val="00322CC4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1C5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57C1D"/>
    <w:rsid w:val="0036093F"/>
    <w:rsid w:val="003616B4"/>
    <w:rsid w:val="00362ADD"/>
    <w:rsid w:val="003644FB"/>
    <w:rsid w:val="0036495F"/>
    <w:rsid w:val="00365E0F"/>
    <w:rsid w:val="00366C3A"/>
    <w:rsid w:val="003727C1"/>
    <w:rsid w:val="003738E5"/>
    <w:rsid w:val="00375931"/>
    <w:rsid w:val="00375AA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2E84"/>
    <w:rsid w:val="003A458E"/>
    <w:rsid w:val="003A4C44"/>
    <w:rsid w:val="003A6419"/>
    <w:rsid w:val="003A69ED"/>
    <w:rsid w:val="003B23D7"/>
    <w:rsid w:val="003B3803"/>
    <w:rsid w:val="003B5C8F"/>
    <w:rsid w:val="003B639E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0415"/>
    <w:rsid w:val="003F3C92"/>
    <w:rsid w:val="003F4485"/>
    <w:rsid w:val="003F699C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7A76"/>
    <w:rsid w:val="00412DA8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591A"/>
    <w:rsid w:val="00425962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5837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3656"/>
    <w:rsid w:val="00464A3D"/>
    <w:rsid w:val="00467853"/>
    <w:rsid w:val="00470155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4DDA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738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072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4F6416"/>
    <w:rsid w:val="00500BE3"/>
    <w:rsid w:val="00501FD8"/>
    <w:rsid w:val="00502DB3"/>
    <w:rsid w:val="005034BD"/>
    <w:rsid w:val="005035E2"/>
    <w:rsid w:val="0050387B"/>
    <w:rsid w:val="005046DF"/>
    <w:rsid w:val="005048A3"/>
    <w:rsid w:val="005051CD"/>
    <w:rsid w:val="00505611"/>
    <w:rsid w:val="00505799"/>
    <w:rsid w:val="005058EB"/>
    <w:rsid w:val="00506216"/>
    <w:rsid w:val="005065EC"/>
    <w:rsid w:val="00507AA9"/>
    <w:rsid w:val="0051127D"/>
    <w:rsid w:val="00513DB5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579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238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48DA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A7071"/>
    <w:rsid w:val="005B1133"/>
    <w:rsid w:val="005B2215"/>
    <w:rsid w:val="005B27BD"/>
    <w:rsid w:val="005B2A08"/>
    <w:rsid w:val="005B2C13"/>
    <w:rsid w:val="005B2CA5"/>
    <w:rsid w:val="005B4ACD"/>
    <w:rsid w:val="005B53DB"/>
    <w:rsid w:val="005B53DC"/>
    <w:rsid w:val="005B7AC4"/>
    <w:rsid w:val="005B7BD5"/>
    <w:rsid w:val="005B7C9B"/>
    <w:rsid w:val="005C0E6B"/>
    <w:rsid w:val="005C1268"/>
    <w:rsid w:val="005C1546"/>
    <w:rsid w:val="005C2176"/>
    <w:rsid w:val="005C221A"/>
    <w:rsid w:val="005C3952"/>
    <w:rsid w:val="005C4154"/>
    <w:rsid w:val="005C5728"/>
    <w:rsid w:val="005C57DB"/>
    <w:rsid w:val="005C7EE5"/>
    <w:rsid w:val="005D0442"/>
    <w:rsid w:val="005D0750"/>
    <w:rsid w:val="005D11B0"/>
    <w:rsid w:val="005D1276"/>
    <w:rsid w:val="005D27E5"/>
    <w:rsid w:val="005D3082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2B4D"/>
    <w:rsid w:val="005F3AEF"/>
    <w:rsid w:val="005F4850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21DC9"/>
    <w:rsid w:val="00622179"/>
    <w:rsid w:val="00622B1C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671C"/>
    <w:rsid w:val="00647811"/>
    <w:rsid w:val="00651070"/>
    <w:rsid w:val="00651BA4"/>
    <w:rsid w:val="00652665"/>
    <w:rsid w:val="0065295B"/>
    <w:rsid w:val="00653D0D"/>
    <w:rsid w:val="0065406D"/>
    <w:rsid w:val="0065429A"/>
    <w:rsid w:val="00655963"/>
    <w:rsid w:val="006568CC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6D9B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17A5"/>
    <w:rsid w:val="006B19A1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637"/>
    <w:rsid w:val="006F2FDC"/>
    <w:rsid w:val="006F3637"/>
    <w:rsid w:val="006F37D9"/>
    <w:rsid w:val="006F4409"/>
    <w:rsid w:val="006F4CCF"/>
    <w:rsid w:val="006F4F97"/>
    <w:rsid w:val="006F6119"/>
    <w:rsid w:val="006F6D4A"/>
    <w:rsid w:val="006F6E18"/>
    <w:rsid w:val="00701F36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2F2F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4FA5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742"/>
    <w:rsid w:val="0076418A"/>
    <w:rsid w:val="007642CB"/>
    <w:rsid w:val="00765226"/>
    <w:rsid w:val="00765520"/>
    <w:rsid w:val="00766879"/>
    <w:rsid w:val="00767CC0"/>
    <w:rsid w:val="00770F29"/>
    <w:rsid w:val="007713DD"/>
    <w:rsid w:val="00771B86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1F31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301B"/>
    <w:rsid w:val="007B516D"/>
    <w:rsid w:val="007B5544"/>
    <w:rsid w:val="007B6414"/>
    <w:rsid w:val="007B7D81"/>
    <w:rsid w:val="007C021A"/>
    <w:rsid w:val="007C07F2"/>
    <w:rsid w:val="007C2500"/>
    <w:rsid w:val="007C4D8A"/>
    <w:rsid w:val="007C51CD"/>
    <w:rsid w:val="007D025A"/>
    <w:rsid w:val="007D0F6C"/>
    <w:rsid w:val="007D2B50"/>
    <w:rsid w:val="007D644D"/>
    <w:rsid w:val="007D6535"/>
    <w:rsid w:val="007D706B"/>
    <w:rsid w:val="007E09AC"/>
    <w:rsid w:val="007E24ED"/>
    <w:rsid w:val="007E3511"/>
    <w:rsid w:val="007E39F2"/>
    <w:rsid w:val="007E436B"/>
    <w:rsid w:val="007E68A9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442"/>
    <w:rsid w:val="00801E7C"/>
    <w:rsid w:val="0080323E"/>
    <w:rsid w:val="008040A5"/>
    <w:rsid w:val="00804C27"/>
    <w:rsid w:val="00804F2C"/>
    <w:rsid w:val="00805FAF"/>
    <w:rsid w:val="008060A0"/>
    <w:rsid w:val="00806C71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595"/>
    <w:rsid w:val="00850743"/>
    <w:rsid w:val="008519C5"/>
    <w:rsid w:val="00851FCD"/>
    <w:rsid w:val="008529D4"/>
    <w:rsid w:val="00852AA7"/>
    <w:rsid w:val="00854A1A"/>
    <w:rsid w:val="0085555A"/>
    <w:rsid w:val="00861F86"/>
    <w:rsid w:val="00862888"/>
    <w:rsid w:val="008638E2"/>
    <w:rsid w:val="00863B8C"/>
    <w:rsid w:val="008645ED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2A3"/>
    <w:rsid w:val="00880C66"/>
    <w:rsid w:val="00882021"/>
    <w:rsid w:val="00883242"/>
    <w:rsid w:val="0088329E"/>
    <w:rsid w:val="0088425A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5723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D7B59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5B54"/>
    <w:rsid w:val="008F766D"/>
    <w:rsid w:val="008F77DF"/>
    <w:rsid w:val="00900693"/>
    <w:rsid w:val="009013FF"/>
    <w:rsid w:val="0090367A"/>
    <w:rsid w:val="00905AFB"/>
    <w:rsid w:val="009061CA"/>
    <w:rsid w:val="00906DCA"/>
    <w:rsid w:val="00907A53"/>
    <w:rsid w:val="00910067"/>
    <w:rsid w:val="0091036B"/>
    <w:rsid w:val="00910CE2"/>
    <w:rsid w:val="00911589"/>
    <w:rsid w:val="00912347"/>
    <w:rsid w:val="00915ADB"/>
    <w:rsid w:val="00916FA7"/>
    <w:rsid w:val="0091763D"/>
    <w:rsid w:val="00917FD0"/>
    <w:rsid w:val="009201C2"/>
    <w:rsid w:val="00922001"/>
    <w:rsid w:val="00924256"/>
    <w:rsid w:val="00924420"/>
    <w:rsid w:val="00925178"/>
    <w:rsid w:val="0092544F"/>
    <w:rsid w:val="00927FFD"/>
    <w:rsid w:val="00931300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C7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E9E"/>
    <w:rsid w:val="00983FFF"/>
    <w:rsid w:val="00984334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A42"/>
    <w:rsid w:val="009C072F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1BD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5EF7"/>
    <w:rsid w:val="009F073A"/>
    <w:rsid w:val="009F3A22"/>
    <w:rsid w:val="009F4258"/>
    <w:rsid w:val="009F51B7"/>
    <w:rsid w:val="009F5202"/>
    <w:rsid w:val="009F55E1"/>
    <w:rsid w:val="009F6BC2"/>
    <w:rsid w:val="009F6F95"/>
    <w:rsid w:val="009F769B"/>
    <w:rsid w:val="00A0000C"/>
    <w:rsid w:val="00A01088"/>
    <w:rsid w:val="00A015C3"/>
    <w:rsid w:val="00A015DA"/>
    <w:rsid w:val="00A02174"/>
    <w:rsid w:val="00A034E1"/>
    <w:rsid w:val="00A03A7B"/>
    <w:rsid w:val="00A03AE4"/>
    <w:rsid w:val="00A04350"/>
    <w:rsid w:val="00A04C4B"/>
    <w:rsid w:val="00A05374"/>
    <w:rsid w:val="00A061CE"/>
    <w:rsid w:val="00A06AAD"/>
    <w:rsid w:val="00A1119B"/>
    <w:rsid w:val="00A12FAD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67F"/>
    <w:rsid w:val="00A56E6F"/>
    <w:rsid w:val="00A57BBD"/>
    <w:rsid w:val="00A57E79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6CA9"/>
    <w:rsid w:val="00A6701C"/>
    <w:rsid w:val="00A71500"/>
    <w:rsid w:val="00A72448"/>
    <w:rsid w:val="00A72545"/>
    <w:rsid w:val="00A72F70"/>
    <w:rsid w:val="00A73516"/>
    <w:rsid w:val="00A747CE"/>
    <w:rsid w:val="00A74C1D"/>
    <w:rsid w:val="00A7636B"/>
    <w:rsid w:val="00A77D5B"/>
    <w:rsid w:val="00A84E23"/>
    <w:rsid w:val="00A85844"/>
    <w:rsid w:val="00A86291"/>
    <w:rsid w:val="00A8656F"/>
    <w:rsid w:val="00A87456"/>
    <w:rsid w:val="00A87471"/>
    <w:rsid w:val="00A8770E"/>
    <w:rsid w:val="00A907DE"/>
    <w:rsid w:val="00A90FC5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A59"/>
    <w:rsid w:val="00AC2267"/>
    <w:rsid w:val="00AC613B"/>
    <w:rsid w:val="00AC721F"/>
    <w:rsid w:val="00AC78CA"/>
    <w:rsid w:val="00AD2BDC"/>
    <w:rsid w:val="00AD3CA9"/>
    <w:rsid w:val="00AD43E2"/>
    <w:rsid w:val="00AD5D5A"/>
    <w:rsid w:val="00AD7030"/>
    <w:rsid w:val="00AE087D"/>
    <w:rsid w:val="00AE387D"/>
    <w:rsid w:val="00AE4A2C"/>
    <w:rsid w:val="00AE4A93"/>
    <w:rsid w:val="00AE4F3E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2EC"/>
    <w:rsid w:val="00AF4BC8"/>
    <w:rsid w:val="00AF50AE"/>
    <w:rsid w:val="00AF5F1C"/>
    <w:rsid w:val="00AF6740"/>
    <w:rsid w:val="00AF6CFD"/>
    <w:rsid w:val="00AF70D3"/>
    <w:rsid w:val="00AF7E0F"/>
    <w:rsid w:val="00B00A03"/>
    <w:rsid w:val="00B00DD6"/>
    <w:rsid w:val="00B00F74"/>
    <w:rsid w:val="00B0117D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052D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709"/>
    <w:rsid w:val="00B31D55"/>
    <w:rsid w:val="00B3753F"/>
    <w:rsid w:val="00B379FC"/>
    <w:rsid w:val="00B37DFD"/>
    <w:rsid w:val="00B415DF"/>
    <w:rsid w:val="00B4166E"/>
    <w:rsid w:val="00B425FB"/>
    <w:rsid w:val="00B4286A"/>
    <w:rsid w:val="00B42BC6"/>
    <w:rsid w:val="00B43E0A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A42"/>
    <w:rsid w:val="00B73DF8"/>
    <w:rsid w:val="00B7445D"/>
    <w:rsid w:val="00B74EB4"/>
    <w:rsid w:val="00B763EA"/>
    <w:rsid w:val="00B76A6A"/>
    <w:rsid w:val="00B81592"/>
    <w:rsid w:val="00B81B6D"/>
    <w:rsid w:val="00B83D61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CA4"/>
    <w:rsid w:val="00BA30ED"/>
    <w:rsid w:val="00BA3134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27EE"/>
    <w:rsid w:val="00BD41E7"/>
    <w:rsid w:val="00BD48DD"/>
    <w:rsid w:val="00BD5BD8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201A"/>
    <w:rsid w:val="00BF25FB"/>
    <w:rsid w:val="00BF422B"/>
    <w:rsid w:val="00BF4453"/>
    <w:rsid w:val="00BF4C86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3EDF"/>
    <w:rsid w:val="00C14777"/>
    <w:rsid w:val="00C14C21"/>
    <w:rsid w:val="00C15FE9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50D6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347C"/>
    <w:rsid w:val="00C54A40"/>
    <w:rsid w:val="00C54AEA"/>
    <w:rsid w:val="00C550A7"/>
    <w:rsid w:val="00C55842"/>
    <w:rsid w:val="00C56DB8"/>
    <w:rsid w:val="00C571EE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67D74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96978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FFE"/>
    <w:rsid w:val="00CC5704"/>
    <w:rsid w:val="00CC5851"/>
    <w:rsid w:val="00CC5AC6"/>
    <w:rsid w:val="00CC6CF9"/>
    <w:rsid w:val="00CC79FC"/>
    <w:rsid w:val="00CD1773"/>
    <w:rsid w:val="00CD2FF6"/>
    <w:rsid w:val="00CD7050"/>
    <w:rsid w:val="00CD70A9"/>
    <w:rsid w:val="00CE13FA"/>
    <w:rsid w:val="00CE2694"/>
    <w:rsid w:val="00CE2CBF"/>
    <w:rsid w:val="00CE411E"/>
    <w:rsid w:val="00CE46B2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26A"/>
    <w:rsid w:val="00D119F6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1E7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4CF0"/>
    <w:rsid w:val="00D45F83"/>
    <w:rsid w:val="00D4627A"/>
    <w:rsid w:val="00D4680A"/>
    <w:rsid w:val="00D479C1"/>
    <w:rsid w:val="00D50BDF"/>
    <w:rsid w:val="00D5266B"/>
    <w:rsid w:val="00D52C83"/>
    <w:rsid w:val="00D53510"/>
    <w:rsid w:val="00D53D3D"/>
    <w:rsid w:val="00D5478A"/>
    <w:rsid w:val="00D5488D"/>
    <w:rsid w:val="00D57C8B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BA9"/>
    <w:rsid w:val="00D81DB8"/>
    <w:rsid w:val="00D856B2"/>
    <w:rsid w:val="00D856EB"/>
    <w:rsid w:val="00D857EE"/>
    <w:rsid w:val="00D878BD"/>
    <w:rsid w:val="00D9034A"/>
    <w:rsid w:val="00D90712"/>
    <w:rsid w:val="00D9212D"/>
    <w:rsid w:val="00D94027"/>
    <w:rsid w:val="00D94EBE"/>
    <w:rsid w:val="00D95190"/>
    <w:rsid w:val="00D96571"/>
    <w:rsid w:val="00D96C6E"/>
    <w:rsid w:val="00D977E3"/>
    <w:rsid w:val="00DA0444"/>
    <w:rsid w:val="00DA24D0"/>
    <w:rsid w:val="00DA2A5D"/>
    <w:rsid w:val="00DA2B44"/>
    <w:rsid w:val="00DA2D2A"/>
    <w:rsid w:val="00DA2D65"/>
    <w:rsid w:val="00DA303C"/>
    <w:rsid w:val="00DA37BC"/>
    <w:rsid w:val="00DA4F32"/>
    <w:rsid w:val="00DA5EE8"/>
    <w:rsid w:val="00DA6CFF"/>
    <w:rsid w:val="00DA7175"/>
    <w:rsid w:val="00DA753F"/>
    <w:rsid w:val="00DA7625"/>
    <w:rsid w:val="00DA79A9"/>
    <w:rsid w:val="00DB304A"/>
    <w:rsid w:val="00DB4920"/>
    <w:rsid w:val="00DB4A0A"/>
    <w:rsid w:val="00DB7E60"/>
    <w:rsid w:val="00DC2EC5"/>
    <w:rsid w:val="00DC4E3B"/>
    <w:rsid w:val="00DC6012"/>
    <w:rsid w:val="00DD114E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46BB"/>
    <w:rsid w:val="00DE52BF"/>
    <w:rsid w:val="00DE7D00"/>
    <w:rsid w:val="00DF09E2"/>
    <w:rsid w:val="00DF17EF"/>
    <w:rsid w:val="00DF3165"/>
    <w:rsid w:val="00DF371E"/>
    <w:rsid w:val="00DF61A8"/>
    <w:rsid w:val="00DF6407"/>
    <w:rsid w:val="00DF6561"/>
    <w:rsid w:val="00DF6613"/>
    <w:rsid w:val="00DF7557"/>
    <w:rsid w:val="00E002D6"/>
    <w:rsid w:val="00E02A70"/>
    <w:rsid w:val="00E03154"/>
    <w:rsid w:val="00E03946"/>
    <w:rsid w:val="00E039D5"/>
    <w:rsid w:val="00E052B7"/>
    <w:rsid w:val="00E062A4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22B2"/>
    <w:rsid w:val="00E24628"/>
    <w:rsid w:val="00E25641"/>
    <w:rsid w:val="00E26402"/>
    <w:rsid w:val="00E26A3B"/>
    <w:rsid w:val="00E305BA"/>
    <w:rsid w:val="00E30654"/>
    <w:rsid w:val="00E30E61"/>
    <w:rsid w:val="00E31C05"/>
    <w:rsid w:val="00E326A4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33ED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4374"/>
    <w:rsid w:val="00EA5402"/>
    <w:rsid w:val="00EA58E7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6A6"/>
    <w:rsid w:val="00ED7861"/>
    <w:rsid w:val="00ED7DF6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867"/>
    <w:rsid w:val="00EF6D0B"/>
    <w:rsid w:val="00F00265"/>
    <w:rsid w:val="00F0186C"/>
    <w:rsid w:val="00F024CC"/>
    <w:rsid w:val="00F02534"/>
    <w:rsid w:val="00F04767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5211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07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3546"/>
    <w:rsid w:val="00F84531"/>
    <w:rsid w:val="00F846E0"/>
    <w:rsid w:val="00F848AD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052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4DC5"/>
    <w:rsid w:val="00FD548F"/>
    <w:rsid w:val="00FD756F"/>
    <w:rsid w:val="00FE0634"/>
    <w:rsid w:val="00FE35D2"/>
    <w:rsid w:val="00FE443D"/>
    <w:rsid w:val="00FE5424"/>
    <w:rsid w:val="00FE694C"/>
    <w:rsid w:val="00FE7A0E"/>
    <w:rsid w:val="00FE7F05"/>
    <w:rsid w:val="00FF110E"/>
    <w:rsid w:val="00FF1C5F"/>
    <w:rsid w:val="00FF2443"/>
    <w:rsid w:val="00FF29A2"/>
    <w:rsid w:val="00FF3C2C"/>
    <w:rsid w:val="00FF40BD"/>
    <w:rsid w:val="00FF4518"/>
    <w:rsid w:val="00FF4603"/>
    <w:rsid w:val="00FF6A8D"/>
    <w:rsid w:val="00FF6CA9"/>
    <w:rsid w:val="00FF6ED8"/>
    <w:rsid w:val="00FF722C"/>
    <w:rsid w:val="2758BD93"/>
    <w:rsid w:val="3399FE96"/>
    <w:rsid w:val="63C83C43"/>
    <w:rsid w:val="73208A03"/>
    <w:rsid w:val="7537C6B6"/>
    <w:rsid w:val="7B96F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6AE54"/>
  <w15:docId w15:val="{04A354D1-4042-42F4-8FE3-0F51368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63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5D1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5D127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5D1276"/>
    <w:pPr>
      <w:keepNext/>
      <w:keepLines/>
      <w:spacing w:before="240"/>
      <w:outlineLvl w:val="2"/>
    </w:pPr>
    <w:rPr>
      <w:rFonts w:eastAsiaTheme="majorEastAsia" w:cstheme="majorBidi"/>
      <w:color w:val="3F0731" w:themeColor="text2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5D1276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5D127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5D127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5D127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5D127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5D127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6559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5963"/>
  </w:style>
  <w:style w:type="paragraph" w:customStyle="1" w:styleId="TableColumnHeading">
    <w:name w:val="Table Column Heading"/>
    <w:basedOn w:val="BodyText"/>
    <w:uiPriority w:val="7"/>
    <w:qFormat/>
    <w:rsid w:val="005D1276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D12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5D1276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5D1276"/>
    <w:pPr>
      <w:keepNext/>
      <w:spacing w:before="480"/>
      <w:outlineLvl w:val="0"/>
    </w:pPr>
    <w:rPr>
      <w:rFonts w:asciiTheme="majorHAnsi" w:hAnsiTheme="majorHAnsi"/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5D1276"/>
    <w:pPr>
      <w:jc w:val="right"/>
    </w:pPr>
  </w:style>
  <w:style w:type="character" w:customStyle="1" w:styleId="Bold">
    <w:name w:val="Bold"/>
    <w:basedOn w:val="DefaultParagraphFont"/>
    <w:uiPriority w:val="2"/>
    <w:qFormat/>
    <w:rsid w:val="005D1276"/>
    <w:rPr>
      <w:rFonts w:asciiTheme="minorHAnsi" w:hAnsiTheme="minorHAnsi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5D1276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1276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2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76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D1276"/>
    <w:rPr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5D1276"/>
    <w:rPr>
      <w:rFonts w:asciiTheme="majorHAnsi" w:eastAsiaTheme="majorEastAsia" w:hAnsiTheme="majorHAnsi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5D127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5D1276"/>
    <w:pPr>
      <w:spacing w:before="60" w:after="60"/>
    </w:pPr>
    <w:rPr>
      <w:rFonts w:ascii="Arial" w:hAnsi="Arial"/>
      <w:lang w:eastAsia="en-NZ"/>
    </w:rPr>
  </w:style>
  <w:style w:type="paragraph" w:styleId="ListBullet">
    <w:name w:val="List Bullet"/>
    <w:basedOn w:val="Normal"/>
    <w:uiPriority w:val="99"/>
    <w:semiHidden/>
    <w:rsid w:val="005D127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5D127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5D127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5D127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5D1276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5D127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5D12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5D12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5D12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5D1276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5D12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D12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D12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D12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D1276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1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276"/>
  </w:style>
  <w:style w:type="character" w:customStyle="1" w:styleId="CommentTextChar">
    <w:name w:val="Comment Text Char"/>
    <w:basedOn w:val="DefaultParagraphFont"/>
    <w:link w:val="CommentText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276"/>
    <w:rPr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5D1276"/>
    <w:rPr>
      <w:rFonts w:ascii="Arial" w:hAnsi="Arial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5D1276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5D1276"/>
    <w:rPr>
      <w:rFonts w:eastAsiaTheme="majorEastAsia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5D1276"/>
    <w:rPr>
      <w:rFonts w:asciiTheme="majorHAnsi" w:eastAsiaTheme="majorEastAsia" w:hAnsiTheme="majorHAnsi" w:cstheme="majorBidi"/>
      <w:color w:val="BF00BF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5D1276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5D1276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5D1276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5D1276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5D1276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5D1276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5D1276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5D1276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5D1276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5D1276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5D1276"/>
    <w:pPr>
      <w:keepNext/>
      <w:keepLines/>
      <w:pBdr>
        <w:top w:val="single" w:sz="2" w:space="2" w:color="FF00FF" w:themeColor="accent1"/>
        <w:left w:val="single" w:sz="2" w:space="4" w:color="FF00FF" w:themeColor="accent1"/>
        <w:bottom w:val="single" w:sz="2" w:space="2" w:color="FF00FF" w:themeColor="accent1"/>
        <w:right w:val="single" w:sz="2" w:space="4" w:color="FF00FF" w:themeColor="accent1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5D1276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5D1276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5D1276"/>
    <w:rPr>
      <w:rFonts w:asciiTheme="majorHAnsi" w:eastAsiaTheme="majorEastAsia" w:hAnsiTheme="majorHAnsi" w:cstheme="majorBidi"/>
      <w:b/>
      <w:iCs/>
      <w:color w:val="2CB9FF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5D1276"/>
    <w:rPr>
      <w:rFonts w:asciiTheme="majorHAnsi" w:eastAsiaTheme="majorEastAsia" w:hAnsiTheme="majorHAnsi" w:cstheme="majorBidi"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5D1276"/>
    <w:rPr>
      <w:rFonts w:asciiTheme="majorHAnsi" w:eastAsiaTheme="majorEastAsia" w:hAnsiTheme="majorHAnsi" w:cstheme="majorBidi"/>
      <w:i/>
      <w:iCs/>
      <w:color w:val="7F007F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5D127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5D127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5D12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5D127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5D1276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CF2B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FF99FF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C5F5BE" w:themeFill="accent6" w:themeFillTint="66"/>
    </w:rPr>
  </w:style>
  <w:style w:type="table" w:customStyle="1" w:styleId="NESO">
    <w:name w:val="NESO"/>
    <w:basedOn w:val="TableNormal"/>
    <w:uiPriority w:val="99"/>
    <w:rsid w:val="005D1276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00FF" w:themeColor="accent1"/>
          <w:left w:val="nil"/>
          <w:bottom w:val="single" w:sz="8" w:space="0" w:color="FF00FF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00FF" w:themeColor="accent1"/>
          <w:bottom w:val="single" w:sz="4" w:space="0" w:color="FF00FF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5D1276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5D1276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5D1276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5D1276"/>
    <w:rPr>
      <w:rFonts w:asciiTheme="minorHAnsi" w:hAnsiTheme="minorHAnsi"/>
      <w:color w:val="000000" w:themeColor="text1"/>
      <w:bdr w:val="none" w:sz="0" w:space="0" w:color="auto"/>
      <w:shd w:val="clear" w:color="auto" w:fill="AAE2FF" w:themeFill="accent2" w:themeFillTint="66"/>
    </w:rPr>
  </w:style>
  <w:style w:type="character" w:customStyle="1" w:styleId="BoldItalic">
    <w:name w:val="Bold Italic"/>
    <w:basedOn w:val="DefaultParagraphFont"/>
    <w:uiPriority w:val="2"/>
    <w:rsid w:val="005D1276"/>
    <w:rPr>
      <w:b/>
      <w:i/>
    </w:rPr>
  </w:style>
  <w:style w:type="paragraph" w:styleId="NoSpacing">
    <w:name w:val="No Spacing"/>
    <w:next w:val="BodyText"/>
    <w:rsid w:val="005D1276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5D1276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5D1276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</w:rPr>
  </w:style>
  <w:style w:type="paragraph" w:customStyle="1" w:styleId="Contents">
    <w:name w:val="Contents"/>
    <w:basedOn w:val="PageTitle"/>
    <w:next w:val="BodyText"/>
    <w:uiPriority w:val="99"/>
    <w:unhideWhenUsed/>
    <w:rsid w:val="005D1276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5D1276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5D1276"/>
    <w:rPr>
      <w:color w:val="3F0731" w:themeColor="text2"/>
    </w:rPr>
  </w:style>
  <w:style w:type="paragraph" w:customStyle="1" w:styleId="FrameBody">
    <w:name w:val="Frame Body"/>
    <w:basedOn w:val="FrameHeading"/>
    <w:uiPriority w:val="13"/>
    <w:rsid w:val="005D1276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5D1276"/>
    <w:rPr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5D1276"/>
    <w:rPr>
      <w:color w:val="000000" w:themeColor="text1"/>
      <w:lang w:val="en-GB"/>
    </w:rPr>
  </w:style>
  <w:style w:type="numbering" w:customStyle="1" w:styleId="Bullets">
    <w:name w:val="Bullets"/>
    <w:uiPriority w:val="99"/>
    <w:rsid w:val="005D1276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5D1276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5D1276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5D1276"/>
    <w:pPr>
      <w:keepNext/>
      <w:keepLines/>
      <w:framePr w:w="2268" w:hSpace="170" w:wrap="around" w:vAnchor="text" w:hAnchor="page" w:x="8841" w:y="1"/>
      <w:pBdr>
        <w:top w:val="single" w:sz="8" w:space="2" w:color="FF00FF" w:themeColor="accent1"/>
        <w:left w:val="single" w:sz="8" w:space="3" w:color="FF00FF" w:themeColor="accent1"/>
        <w:bottom w:val="single" w:sz="8" w:space="2" w:color="FF00FF" w:themeColor="accent1"/>
        <w:right w:val="single" w:sz="8" w:space="3" w:color="FF00FF" w:themeColor="accent1"/>
      </w:pBdr>
      <w:shd w:val="clear" w:color="auto" w:fill="FF00FF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5D1276"/>
    <w:rPr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5D1276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5D1276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5D1276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5D1276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5D1276"/>
  </w:style>
  <w:style w:type="paragraph" w:customStyle="1" w:styleId="SourceNotes">
    <w:name w:val="Source &amp; Notes"/>
    <w:basedOn w:val="BodyText"/>
    <w:uiPriority w:val="99"/>
    <w:qFormat/>
    <w:rsid w:val="005D1276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1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1276"/>
    <w:rPr>
      <w:color w:val="7A3864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5D1276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5D1276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rFonts w:asciiTheme="majorHAnsi" w:hAnsiTheme="majorHAnsi"/>
      <w:b/>
      <w:bCs/>
      <w:color w:val="000000" w:themeColor="text1"/>
      <w:kern w:val="0"/>
      <w:sz w:val="56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5D1276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rFonts w:ascii="Arial" w:hAnsi="Arial"/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D1276"/>
  </w:style>
  <w:style w:type="paragraph" w:customStyle="1" w:styleId="Shadedheading0">
    <w:name w:val="Shaded heading"/>
    <w:basedOn w:val="SectionHeader"/>
    <w:uiPriority w:val="99"/>
    <w:qFormat/>
    <w:rsid w:val="005D1276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5D1276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5D1276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5D12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semiHidden/>
    <w:qFormat/>
    <w:rsid w:val="005D1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semiHidden/>
    <w:rsid w:val="005D127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semiHidden/>
    <w:qFormat/>
    <w:rsid w:val="005D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semiHidden/>
    <w:rsid w:val="005D1276"/>
    <w:rPr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semiHidden/>
    <w:qFormat/>
    <w:rsid w:val="005D1276"/>
    <w:rPr>
      <w:i/>
      <w:iCs/>
      <w:color w:val="BF00BF" w:themeColor="accent1" w:themeShade="BF"/>
    </w:rPr>
  </w:style>
  <w:style w:type="character" w:styleId="IntenseReference">
    <w:name w:val="Intense Reference"/>
    <w:basedOn w:val="DefaultParagraphFont"/>
    <w:uiPriority w:val="33"/>
    <w:semiHidden/>
    <w:qFormat/>
    <w:rsid w:val="005D1276"/>
    <w:rPr>
      <w:b/>
      <w:bCs/>
      <w:smallCaps/>
      <w:color w:val="BF00BF" w:themeColor="accent1" w:themeShade="BF"/>
      <w:spacing w:val="5"/>
    </w:rPr>
  </w:style>
  <w:style w:type="table" w:styleId="ListTable2-Accent1">
    <w:name w:val="List Table 2 Accent 1"/>
    <w:basedOn w:val="TableNormal"/>
    <w:uiPriority w:val="47"/>
    <w:rsid w:val="00494DDA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bottom w:val="single" w:sz="4" w:space="0" w:color="FF66FF" w:themeColor="accent1" w:themeTint="99"/>
        <w:insideH w:val="single" w:sz="4" w:space="0" w:color="FF6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494DDA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94DD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FF" w:themeFill="accent1"/>
      </w:tcPr>
    </w:tblStylePr>
    <w:tblStylePr w:type="band1Vert">
      <w:tblPr/>
      <w:tcPr>
        <w:shd w:val="clear" w:color="auto" w:fill="FF99FF" w:themeFill="accent1" w:themeFillTint="66"/>
      </w:tcPr>
    </w:tblStylePr>
    <w:tblStylePr w:type="band1Horz">
      <w:tblPr/>
      <w:tcPr>
        <w:shd w:val="clear" w:color="auto" w:fill="FF99FF" w:themeFill="accent1" w:themeFillTint="66"/>
      </w:tcPr>
    </w:tblStylePr>
  </w:style>
  <w:style w:type="paragraph" w:customStyle="1" w:styleId="Default">
    <w:name w:val="Default"/>
    <w:rsid w:val="001709F3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xui-provider">
    <w:name w:val="x_ui-provider"/>
    <w:basedOn w:val="DefaultParagraphFont"/>
    <w:rsid w:val="001709F3"/>
  </w:style>
  <w:style w:type="table" w:styleId="GridTable6Colorful-Accent1">
    <w:name w:val="Grid Table 6 Colorful Accent 1"/>
    <w:basedOn w:val="TableNormal"/>
    <w:uiPriority w:val="51"/>
    <w:rsid w:val="00A8656F"/>
    <w:pPr>
      <w:spacing w:after="0"/>
    </w:pPr>
    <w:rPr>
      <w:color w:val="BF00BF" w:themeColor="accent1" w:themeShade="BF"/>
    </w:r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656F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  <w:tblStylePr w:type="neCell">
      <w:tblPr/>
      <w:tcPr>
        <w:tcBorders>
          <w:bottom w:val="single" w:sz="4" w:space="0" w:color="FF66FF" w:themeColor="accent1" w:themeTint="99"/>
        </w:tcBorders>
      </w:tcPr>
    </w:tblStylePr>
    <w:tblStylePr w:type="nwCell">
      <w:tblPr/>
      <w:tcPr>
        <w:tcBorders>
          <w:bottom w:val="single" w:sz="4" w:space="0" w:color="FF66FF" w:themeColor="accent1" w:themeTint="99"/>
        </w:tcBorders>
      </w:tcPr>
    </w:tblStylePr>
    <w:tblStylePr w:type="seCell">
      <w:tblPr/>
      <w:tcPr>
        <w:tcBorders>
          <w:top w:val="single" w:sz="4" w:space="0" w:color="FF66FF" w:themeColor="accent1" w:themeTint="99"/>
        </w:tcBorders>
      </w:tcPr>
    </w:tblStylePr>
    <w:tblStylePr w:type="swCell">
      <w:tblPr/>
      <w:tcPr>
        <w:tcBorders>
          <w:top w:val="single" w:sz="4" w:space="0" w:color="FF66FF" w:themeColor="accent1" w:themeTint="99"/>
        </w:tcBorders>
      </w:tcPr>
    </w:tblStylePr>
  </w:style>
  <w:style w:type="paragraph" w:styleId="Revision">
    <w:name w:val="Revision"/>
    <w:hidden/>
    <w:uiPriority w:val="99"/>
    <w:semiHidden/>
    <w:rsid w:val="00F25211"/>
    <w:pPr>
      <w:spacing w:after="0"/>
    </w:pPr>
    <w:rPr>
      <w:kern w:val="2"/>
      <w:sz w:val="22"/>
      <w:szCs w:val="22"/>
      <w:lang w:val="en-GB"/>
      <w14:ligatures w14:val="standardContextual"/>
    </w:rPr>
  </w:style>
  <w:style w:type="table" w:styleId="GridTable4-Accent1">
    <w:name w:val="Grid Table 4 Accent 1"/>
    <w:basedOn w:val="TableNormal"/>
    <w:uiPriority w:val="49"/>
    <w:rsid w:val="001437AF"/>
    <w:pPr>
      <w:spacing w:after="0"/>
    </w:pPr>
    <w:tblPr>
      <w:tblStyleRowBandSize w:val="1"/>
      <w:tblStyleColBandSize w:val="1"/>
      <w:tblBorders>
        <w:top w:val="single" w:sz="4" w:space="0" w:color="FF66FF" w:themeColor="accent1" w:themeTint="99"/>
        <w:left w:val="single" w:sz="4" w:space="0" w:color="FF66FF" w:themeColor="accent1" w:themeTint="99"/>
        <w:bottom w:val="single" w:sz="4" w:space="0" w:color="FF66FF" w:themeColor="accent1" w:themeTint="99"/>
        <w:right w:val="single" w:sz="4" w:space="0" w:color="FF66FF" w:themeColor="accent1" w:themeTint="99"/>
        <w:insideH w:val="single" w:sz="4" w:space="0" w:color="FF66FF" w:themeColor="accent1" w:themeTint="99"/>
        <w:insideV w:val="single" w:sz="4" w:space="0" w:color="FF6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FF" w:themeColor="accent1"/>
          <w:left w:val="single" w:sz="4" w:space="0" w:color="FF00FF" w:themeColor="accent1"/>
          <w:bottom w:val="single" w:sz="4" w:space="0" w:color="FF00FF" w:themeColor="accent1"/>
          <w:right w:val="single" w:sz="4" w:space="0" w:color="FF00FF" w:themeColor="accent1"/>
          <w:insideH w:val="nil"/>
          <w:insideV w:val="nil"/>
        </w:tcBorders>
        <w:shd w:val="clear" w:color="auto" w:fill="FF00FF" w:themeFill="accent1"/>
      </w:tcPr>
    </w:tblStylePr>
    <w:tblStylePr w:type="lastRow">
      <w:rPr>
        <w:b/>
        <w:bCs/>
      </w:rPr>
      <w:tblPr/>
      <w:tcPr>
        <w:tcBorders>
          <w:top w:val="double" w:sz="4" w:space="0" w:color="FF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FF" w:themeFill="accent1" w:themeFillTint="33"/>
      </w:tcPr>
    </w:tblStylePr>
    <w:tblStylePr w:type="band1Horz">
      <w:tblPr/>
      <w:tcPr>
        <w:shd w:val="clear" w:color="auto" w:fill="FFCCFF" w:themeFill="accent1" w:themeFillTint="33"/>
      </w:tcPr>
    </w:tblStylePr>
  </w:style>
  <w:style w:type="table" w:styleId="GridTable4">
    <w:name w:val="Grid Table 4"/>
    <w:basedOn w:val="TableNormal"/>
    <w:uiPriority w:val="49"/>
    <w:rsid w:val="00F44A0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D878B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ESO_Office_Theme_PPT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54b08-95e6-4702-bbaf-9c106da15a3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3A04EF1CB48A46E8BE59C8EFE11" ma:contentTypeVersion="1" ma:contentTypeDescription="Create a new document." ma:contentTypeScope="" ma:versionID="e76d8c987fec1645722d2999f886ae5f">
  <xsd:schema xmlns:xsd="http://www.w3.org/2001/XMLSchema" xmlns:xs="http://www.w3.org/2001/XMLSchema" xmlns:p="http://schemas.microsoft.com/office/2006/metadata/properties" xmlns:ns2="5c92b4fc-dd30-4006-aefe-50c30abe1996" xmlns:ns3="dbd54b08-95e6-4702-bbaf-9c106da15a3d" targetNamespace="http://schemas.microsoft.com/office/2006/metadata/properties" ma:root="true" ma:fieldsID="43da8c0bfc21540f3d0950a2878571d1" ns2:_="" ns3:_="">
    <xsd:import namespace="5c92b4fc-dd30-4006-aefe-50c30abe1996"/>
    <xsd:import namespace="dbd54b08-95e6-4702-bbaf-9c106da15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2b4fc-dd30-4006-aefe-50c30abe1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4b08-95e6-4702-bbaf-9c106da15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dbd54b08-95e6-4702-bbaf-9c106da15a3d"/>
  </ds:schemaRefs>
</ds:datastoreItem>
</file>

<file path=customXml/itemProps2.xml><?xml version="1.0" encoding="utf-8"?>
<ds:datastoreItem xmlns:ds="http://schemas.openxmlformats.org/officeDocument/2006/customXml" ds:itemID="{559C69C3-4A12-437E-BE33-E8437280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2b4fc-dd30-4006-aefe-50c30abe1996"/>
    <ds:schemaRef ds:uri="dbd54b08-95e6-4702-bbaf-9c106da15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4338</Characters>
  <Application>Microsoft Office Word</Application>
  <DocSecurity>0</DocSecurity>
  <Lines>228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Noblejas(ESO), Paz Torres</dc:creator>
  <cp:keywords/>
  <dc:description/>
  <cp:lastModifiedBy>Richard Price</cp:lastModifiedBy>
  <cp:revision>36</cp:revision>
  <cp:lastPrinted>2020-06-01T14:47:00Z</cp:lastPrinted>
  <dcterms:created xsi:type="dcterms:W3CDTF">2026-04-28T07:40:00Z</dcterms:created>
  <dcterms:modified xsi:type="dcterms:W3CDTF">2026-06-01T15:56:00Z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0x010100C9F213A04EF1CB48A46E8BE59C8EFE11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  <property fmtid="{D5CDD505-2E9C-101B-9397-08002B2CF9AE}" pid="10" name="ClassificationContentMarkingHeaderShapeIds">
    <vt:lpwstr>7e202ad,45f6ab06,6c077648</vt:lpwstr>
  </property>
  <property fmtid="{D5CDD505-2E9C-101B-9397-08002B2CF9AE}" pid="11" name="ClassificationContentMarkingHeaderFontProps">
    <vt:lpwstr>#ff00ff,12,Poppins</vt:lpwstr>
  </property>
  <property fmtid="{D5CDD505-2E9C-101B-9397-08002B2CF9AE}" pid="12" name="ClassificationContentMarkingHeaderText">
    <vt:lpwstr>Public</vt:lpwstr>
  </property>
  <property fmtid="{D5CDD505-2E9C-101B-9397-08002B2CF9AE}" pid="13" name="MSIP_Label_46b973ef-eb54-4209-9a1a-47743cb8bf58_Enabled">
    <vt:lpwstr>true</vt:lpwstr>
  </property>
  <property fmtid="{D5CDD505-2E9C-101B-9397-08002B2CF9AE}" pid="14" name="MSIP_Label_46b973ef-eb54-4209-9a1a-47743cb8bf58_SetDate">
    <vt:lpwstr>2026-04-28T06:56:43Z</vt:lpwstr>
  </property>
  <property fmtid="{D5CDD505-2E9C-101B-9397-08002B2CF9AE}" pid="15" name="MSIP_Label_46b973ef-eb54-4209-9a1a-47743cb8bf58_Method">
    <vt:lpwstr>Privileged</vt:lpwstr>
  </property>
  <property fmtid="{D5CDD505-2E9C-101B-9397-08002B2CF9AE}" pid="16" name="MSIP_Label_46b973ef-eb54-4209-9a1a-47743cb8bf58_Name">
    <vt:lpwstr>Publicly Available</vt:lpwstr>
  </property>
  <property fmtid="{D5CDD505-2E9C-101B-9397-08002B2CF9AE}" pid="17" name="MSIP_Label_46b973ef-eb54-4209-9a1a-47743cb8bf58_SiteId">
    <vt:lpwstr>a63c9e9e-b4db-442a-a94f-08718d788e8c</vt:lpwstr>
  </property>
  <property fmtid="{D5CDD505-2E9C-101B-9397-08002B2CF9AE}" pid="18" name="MSIP_Label_46b973ef-eb54-4209-9a1a-47743cb8bf58_ActionId">
    <vt:lpwstr>b7d1bbe6-c499-4900-b627-953808da9740</vt:lpwstr>
  </property>
  <property fmtid="{D5CDD505-2E9C-101B-9397-08002B2CF9AE}" pid="19" name="MSIP_Label_46b973ef-eb54-4209-9a1a-47743cb8bf58_ContentBits">
    <vt:lpwstr>1</vt:lpwstr>
  </property>
  <property fmtid="{D5CDD505-2E9C-101B-9397-08002B2CF9AE}" pid="20" name="MSIP_Label_46b973ef-eb54-4209-9a1a-47743cb8bf58_Tag">
    <vt:lpwstr>10, 0, 1, 1</vt:lpwstr>
  </property>
</Properties>
</file>