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870E" w14:textId="3EEFBBB5" w:rsidR="00A01287" w:rsidRPr="00EE0288" w:rsidRDefault="4711A8A8" w:rsidP="0294FDCA">
      <w:pPr>
        <w:pStyle w:val="Heading2"/>
        <w:rPr>
          <w:rFonts w:eastAsiaTheme="minorEastAsia" w:cs="Poppins"/>
          <w:color w:val="auto"/>
          <w:kern w:val="0"/>
          <w:sz w:val="36"/>
          <w:szCs w:val="36"/>
          <w14:ligatures w14:val="none"/>
        </w:rPr>
      </w:pPr>
      <w:r w:rsidRPr="0294FDCA">
        <w:rPr>
          <w:rFonts w:eastAsiaTheme="minorEastAsia" w:cs="Poppins"/>
          <w:color w:val="auto"/>
          <w:kern w:val="0"/>
          <w:sz w:val="36"/>
          <w:szCs w:val="36"/>
          <w14:ligatures w14:val="none"/>
        </w:rPr>
        <w:t xml:space="preserve">Call for input on </w:t>
      </w:r>
      <w:r w:rsidR="461EC652" w:rsidRPr="0294FDCA">
        <w:rPr>
          <w:rFonts w:eastAsiaTheme="minorEastAsia" w:cs="Poppins"/>
          <w:color w:val="auto"/>
          <w:kern w:val="0"/>
          <w:sz w:val="36"/>
          <w:szCs w:val="36"/>
          <w14:ligatures w14:val="none"/>
        </w:rPr>
        <w:t xml:space="preserve">NESO’s </w:t>
      </w:r>
      <w:r w:rsidRPr="0294FDCA">
        <w:rPr>
          <w:rFonts w:eastAsiaTheme="minorEastAsia" w:cs="Poppins"/>
          <w:color w:val="auto"/>
          <w:kern w:val="0"/>
          <w:sz w:val="36"/>
          <w:szCs w:val="36"/>
          <w14:ligatures w14:val="none"/>
        </w:rPr>
        <w:t xml:space="preserve">‘Methodology for GB Commercial Arrangements relating to Interconnector Capacity Calculation’ </w:t>
      </w:r>
    </w:p>
    <w:p w14:paraId="32D2C320" w14:textId="15C4B7DD" w:rsidR="00563A63" w:rsidRDefault="00C93C2A" w:rsidP="002D313A">
      <w:pPr>
        <w:pStyle w:val="Heading2"/>
        <w:rPr>
          <w:rFonts w:cs="Poppins"/>
        </w:rPr>
      </w:pPr>
      <w:r>
        <w:rPr>
          <w:rFonts w:cs="Poppins"/>
        </w:rPr>
        <w:t xml:space="preserve">18 </w:t>
      </w:r>
      <w:proofErr w:type="gramStart"/>
      <w:r>
        <w:rPr>
          <w:rFonts w:cs="Poppins"/>
        </w:rPr>
        <w:t>August</w:t>
      </w:r>
      <w:r w:rsidR="00563A63" w:rsidRPr="597828E5">
        <w:rPr>
          <w:rFonts w:cs="Poppins"/>
        </w:rPr>
        <w:t>,</w:t>
      </w:r>
      <w:proofErr w:type="gramEnd"/>
      <w:r w:rsidR="00563A63" w:rsidRPr="597828E5">
        <w:rPr>
          <w:rFonts w:cs="Poppins"/>
        </w:rPr>
        <w:t xml:space="preserve"> 2025</w:t>
      </w:r>
    </w:p>
    <w:p w14:paraId="44562249" w14:textId="24ECFDD6" w:rsidR="002D313A" w:rsidRPr="004365EB" w:rsidRDefault="00EE0288" w:rsidP="002D313A">
      <w:pPr>
        <w:pStyle w:val="Heading2"/>
        <w:rPr>
          <w:rFonts w:cs="Poppins"/>
        </w:rPr>
      </w:pPr>
      <w:r>
        <w:rPr>
          <w:rFonts w:cs="Poppins"/>
        </w:rPr>
        <w:t>Introduction</w:t>
      </w:r>
    </w:p>
    <w:p w14:paraId="376E3033" w14:textId="19293CC2" w:rsidR="002D313A" w:rsidRDefault="00C2181D" w:rsidP="002D313A">
      <w:pPr>
        <w:pStyle w:val="BodyText"/>
        <w:rPr>
          <w:rFonts w:cs="Poppins"/>
        </w:rPr>
      </w:pPr>
      <w:r w:rsidRPr="655CCE87">
        <w:rPr>
          <w:rFonts w:cs="Poppins"/>
        </w:rPr>
        <w:t>The d</w:t>
      </w:r>
      <w:r w:rsidR="00D770D3" w:rsidRPr="655CCE87">
        <w:rPr>
          <w:rFonts w:cs="Poppins"/>
        </w:rPr>
        <w:t xml:space="preserve">ocument </w:t>
      </w:r>
      <w:r w:rsidRPr="655CCE87">
        <w:rPr>
          <w:rFonts w:cs="Poppins"/>
        </w:rPr>
        <w:t xml:space="preserve">titled </w:t>
      </w:r>
      <w:hyperlink r:id="rId11">
        <w:r w:rsidRPr="655CCE87">
          <w:rPr>
            <w:rStyle w:val="Hyperlink"/>
            <w:rFonts w:cs="Poppins"/>
          </w:rPr>
          <w:t>‘</w:t>
        </w:r>
        <w:r w:rsidR="00C1200C" w:rsidRPr="655CCE87">
          <w:rPr>
            <w:rStyle w:val="Hyperlink"/>
            <w:rFonts w:cs="Poppins"/>
          </w:rPr>
          <w:t xml:space="preserve">Methodology for GB Commercial Arrangements relating to Interconnector Capacity Calculation’ </w:t>
        </w:r>
        <w:r w:rsidR="00174DCC" w:rsidRPr="655CCE87">
          <w:rPr>
            <w:rStyle w:val="Hyperlink"/>
            <w:rFonts w:cs="Poppins"/>
          </w:rPr>
          <w:t>(September 2023 - Version 2.0)</w:t>
        </w:r>
      </w:hyperlink>
      <w:r w:rsidRPr="655CCE87">
        <w:rPr>
          <w:rStyle w:val="FootnoteReference"/>
          <w:rFonts w:cs="Poppins"/>
        </w:rPr>
        <w:footnoteReference w:id="2"/>
      </w:r>
      <w:r w:rsidR="00174DCC" w:rsidRPr="655CCE87">
        <w:rPr>
          <w:rFonts w:cs="Poppins"/>
        </w:rPr>
        <w:t xml:space="preserve"> outlines</w:t>
      </w:r>
      <w:r w:rsidR="00C1200C" w:rsidRPr="655CCE87">
        <w:rPr>
          <w:rFonts w:cs="Poppins"/>
        </w:rPr>
        <w:t xml:space="preserve"> the method by which </w:t>
      </w:r>
      <w:r w:rsidR="00620839" w:rsidRPr="655CCE87">
        <w:rPr>
          <w:rFonts w:cs="Poppins"/>
        </w:rPr>
        <w:t xml:space="preserve">compensation is calculated </w:t>
      </w:r>
      <w:r w:rsidR="00880E03" w:rsidRPr="655CCE87">
        <w:rPr>
          <w:rFonts w:cs="Poppins"/>
        </w:rPr>
        <w:t xml:space="preserve">and settled </w:t>
      </w:r>
      <w:r w:rsidR="00620839" w:rsidRPr="655CCE87">
        <w:rPr>
          <w:rFonts w:cs="Poppins"/>
        </w:rPr>
        <w:t xml:space="preserve">when Net Transfer Capacity </w:t>
      </w:r>
      <w:r w:rsidR="00880E03" w:rsidRPr="655CCE87">
        <w:rPr>
          <w:rFonts w:cs="Poppins"/>
        </w:rPr>
        <w:t xml:space="preserve">(NTC) </w:t>
      </w:r>
      <w:r w:rsidR="00620839" w:rsidRPr="655CCE87">
        <w:rPr>
          <w:rFonts w:cs="Poppins"/>
        </w:rPr>
        <w:t>rest</w:t>
      </w:r>
      <w:r w:rsidR="00174DCC" w:rsidRPr="655CCE87">
        <w:rPr>
          <w:rFonts w:cs="Poppins"/>
        </w:rPr>
        <w:t>r</w:t>
      </w:r>
      <w:r w:rsidR="00620839" w:rsidRPr="655CCE87">
        <w:rPr>
          <w:rFonts w:cs="Poppins"/>
        </w:rPr>
        <w:t>ictions are applied.</w:t>
      </w:r>
      <w:r w:rsidR="00880E03" w:rsidRPr="655CCE87">
        <w:rPr>
          <w:rFonts w:cs="Poppins"/>
        </w:rPr>
        <w:t xml:space="preserve"> The document </w:t>
      </w:r>
      <w:r w:rsidR="00E050A1" w:rsidRPr="655CCE87">
        <w:rPr>
          <w:rFonts w:cs="Poppins"/>
        </w:rPr>
        <w:t>states that in lieu of</w:t>
      </w:r>
      <w:r w:rsidR="00206ACA" w:rsidRPr="655CCE87">
        <w:rPr>
          <w:rFonts w:cs="Poppins"/>
        </w:rPr>
        <w:t>, “</w:t>
      </w:r>
      <w:r w:rsidR="00E050A1" w:rsidRPr="655CCE87">
        <w:rPr>
          <w:rFonts w:cs="Poppins"/>
        </w:rPr>
        <w:t xml:space="preserve">material changes to market coupling or the submission of the Capacity Calculation technical </w:t>
      </w:r>
      <w:r w:rsidR="00206ACA" w:rsidRPr="655CCE87">
        <w:rPr>
          <w:rFonts w:cs="Poppins"/>
        </w:rPr>
        <w:t>procedure under the Trade and Cooperation Agreement (TCA)</w:t>
      </w:r>
      <w:r w:rsidR="003E679F" w:rsidRPr="655CCE87">
        <w:rPr>
          <w:rFonts w:cs="Poppins"/>
        </w:rPr>
        <w:t xml:space="preserve">” triggering a review of this methodology, </w:t>
      </w:r>
      <w:r w:rsidR="005E4DEE" w:rsidRPr="655CCE87">
        <w:rPr>
          <w:rFonts w:cs="Poppins"/>
        </w:rPr>
        <w:t xml:space="preserve">the ESO </w:t>
      </w:r>
      <w:r w:rsidR="005620C5">
        <w:rPr>
          <w:rFonts w:cs="Poppins"/>
        </w:rPr>
        <w:t>(</w:t>
      </w:r>
      <w:r w:rsidR="005E4DEE" w:rsidRPr="655CCE87">
        <w:rPr>
          <w:rFonts w:cs="Poppins"/>
        </w:rPr>
        <w:t>now NESO</w:t>
      </w:r>
      <w:r w:rsidR="005620C5">
        <w:rPr>
          <w:rFonts w:cs="Poppins"/>
        </w:rPr>
        <w:t>)</w:t>
      </w:r>
      <w:r w:rsidR="005E4DEE" w:rsidRPr="655CCE87">
        <w:rPr>
          <w:rFonts w:cs="Poppins"/>
        </w:rPr>
        <w:t xml:space="preserve"> will conduct a review of this document by the end of 2025.</w:t>
      </w:r>
    </w:p>
    <w:p w14:paraId="7F6A8BE2" w14:textId="05FE131A" w:rsidR="00E71FAD" w:rsidRDefault="00A1383C" w:rsidP="002D313A">
      <w:pPr>
        <w:pStyle w:val="BodyText"/>
        <w:rPr>
          <w:rFonts w:cs="Poppins"/>
        </w:rPr>
      </w:pPr>
      <w:r>
        <w:rPr>
          <w:rFonts w:cs="Poppins"/>
        </w:rPr>
        <w:t xml:space="preserve">As such we would like to invite you to provide feedback on this document </w:t>
      </w:r>
      <w:r w:rsidR="00854CD1">
        <w:rPr>
          <w:rFonts w:cs="Poppins"/>
        </w:rPr>
        <w:t>to inform this review.</w:t>
      </w:r>
    </w:p>
    <w:p w14:paraId="1CF53754" w14:textId="5ADBF6BF" w:rsidR="00DF669C" w:rsidRDefault="00DF669C" w:rsidP="00DF669C">
      <w:pPr>
        <w:pStyle w:val="Heading2"/>
        <w:rPr>
          <w:rFonts w:cs="Poppins"/>
        </w:rPr>
      </w:pPr>
      <w:r>
        <w:rPr>
          <w:rFonts w:cs="Poppins"/>
        </w:rPr>
        <w:t>How to respond:</w:t>
      </w:r>
    </w:p>
    <w:p w14:paraId="7FC8DDF1" w14:textId="3A059460" w:rsidR="00356946" w:rsidRPr="00846756" w:rsidRDefault="00356946" w:rsidP="00356946">
      <w:pPr>
        <w:pStyle w:val="BodyText"/>
        <w:rPr>
          <w:rFonts w:cs="Poppins"/>
        </w:rPr>
      </w:pPr>
      <w:r>
        <w:rPr>
          <w:rFonts w:cs="Poppins"/>
        </w:rPr>
        <w:t xml:space="preserve">This ‘call for input’ will be the primary source of industry feedback for NESO’s review of this document so please complete all relevant questions below </w:t>
      </w:r>
      <w:r w:rsidRPr="00846756">
        <w:rPr>
          <w:rFonts w:cs="Poppins"/>
        </w:rPr>
        <w:t xml:space="preserve">with supporting examples wherever possible. </w:t>
      </w:r>
    </w:p>
    <w:p w14:paraId="67B2A5B5" w14:textId="19E84C6E" w:rsidR="00356946" w:rsidRPr="00846756" w:rsidRDefault="00356946" w:rsidP="00356946">
      <w:pPr>
        <w:pStyle w:val="BodyText"/>
        <w:rPr>
          <w:rFonts w:cs="Poppins"/>
        </w:rPr>
      </w:pPr>
      <w:r w:rsidRPr="00846756">
        <w:rPr>
          <w:rFonts w:cs="Poppins"/>
        </w:rPr>
        <w:t>For any suggestions of changes, please provide reasoning and advise on the impact said change would deliver.</w:t>
      </w:r>
    </w:p>
    <w:p w14:paraId="40F591F9" w14:textId="426F7F3C" w:rsidR="00846756" w:rsidRDefault="00846756" w:rsidP="00846756">
      <w:pPr>
        <w:pStyle w:val="BodyText"/>
        <w:rPr>
          <w:rFonts w:cs="Poppins"/>
          <w:b/>
          <w:bCs/>
        </w:rPr>
      </w:pPr>
      <w:r w:rsidRPr="597828E5">
        <w:rPr>
          <w:rFonts w:cs="Poppins"/>
          <w:b/>
          <w:bCs/>
        </w:rPr>
        <w:t xml:space="preserve">Please return the completed form to </w:t>
      </w:r>
      <w:hyperlink r:id="rId12">
        <w:r w:rsidRPr="597828E5">
          <w:rPr>
            <w:rStyle w:val="Hyperlink"/>
            <w:rFonts w:cs="Poppins"/>
            <w:b/>
            <w:bCs/>
          </w:rPr>
          <w:t>box.EFT@neso.energy</w:t>
        </w:r>
      </w:hyperlink>
      <w:r w:rsidRPr="597828E5">
        <w:rPr>
          <w:rFonts w:cs="Poppins"/>
          <w:b/>
          <w:bCs/>
        </w:rPr>
        <w:t xml:space="preserve"> by 5pm </w:t>
      </w:r>
      <w:r w:rsidR="2DCB8B32" w:rsidRPr="597828E5">
        <w:rPr>
          <w:rFonts w:cs="Poppins"/>
          <w:b/>
          <w:bCs/>
        </w:rPr>
        <w:t xml:space="preserve">GMT </w:t>
      </w:r>
      <w:r w:rsidRPr="597828E5">
        <w:rPr>
          <w:rFonts w:cs="Poppins"/>
          <w:b/>
          <w:bCs/>
        </w:rPr>
        <w:t xml:space="preserve">on </w:t>
      </w:r>
      <w:r w:rsidR="00C93C2A">
        <w:rPr>
          <w:rFonts w:cs="Poppins"/>
          <w:b/>
          <w:bCs/>
        </w:rPr>
        <w:t>19 September</w:t>
      </w:r>
      <w:r w:rsidRPr="597828E5">
        <w:rPr>
          <w:rFonts w:cs="Poppins"/>
          <w:b/>
          <w:bCs/>
        </w:rPr>
        <w:t xml:space="preserve"> 2025. </w:t>
      </w:r>
    </w:p>
    <w:p w14:paraId="27EDD07B" w14:textId="77777777" w:rsidR="00846756" w:rsidRDefault="00846756" w:rsidP="00846756">
      <w:pPr>
        <w:pStyle w:val="BodyText"/>
      </w:pPr>
      <w:r w:rsidRPr="00823582">
        <w:rPr>
          <w:rFonts w:cs="Poppins"/>
        </w:rPr>
        <w:t xml:space="preserve">If you have any questions relating to this call for input, please also contact </w:t>
      </w:r>
      <w:hyperlink r:id="rId13" w:history="1">
        <w:r w:rsidRPr="008F4763">
          <w:rPr>
            <w:rStyle w:val="Hyperlink"/>
            <w:rFonts w:cs="Poppins"/>
          </w:rPr>
          <w:t>box.EFT@neso.energy</w:t>
        </w:r>
      </w:hyperlink>
    </w:p>
    <w:p w14:paraId="501E7257" w14:textId="77777777" w:rsidR="002D2569" w:rsidRDefault="002D2569" w:rsidP="00356946">
      <w:pPr>
        <w:pStyle w:val="BodyText"/>
        <w:rPr>
          <w:rFonts w:cs="Poppins"/>
        </w:rPr>
      </w:pPr>
    </w:p>
    <w:p w14:paraId="0E0D82CB" w14:textId="77777777" w:rsidR="00110DB8" w:rsidRDefault="00110DB8">
      <w:pPr>
        <w:spacing w:after="120" w:line="240" w:lineRule="auto"/>
        <w:rPr>
          <w:rFonts w:eastAsiaTheme="majorEastAsia" w:cs="Poppins"/>
          <w:b/>
          <w:bCs/>
          <w:color w:val="3F0731" w:themeColor="text2"/>
          <w:sz w:val="28"/>
          <w:szCs w:val="26"/>
        </w:rPr>
      </w:pPr>
      <w:r>
        <w:rPr>
          <w:rFonts w:cs="Poppins"/>
        </w:rPr>
        <w:br w:type="page"/>
      </w:r>
    </w:p>
    <w:p w14:paraId="3ABF4B2B" w14:textId="270F3914" w:rsidR="002D2569" w:rsidRDefault="002D2569" w:rsidP="002D2569">
      <w:pPr>
        <w:pStyle w:val="Heading2"/>
        <w:rPr>
          <w:rFonts w:cs="Poppins"/>
        </w:rPr>
      </w:pPr>
      <w:r>
        <w:rPr>
          <w:rFonts w:cs="Poppins"/>
        </w:rPr>
        <w:lastRenderedPageBreak/>
        <w:t>Confidentiality:</w:t>
      </w:r>
    </w:p>
    <w:p w14:paraId="23CDBDDF" w14:textId="695EDA28" w:rsidR="002D1473" w:rsidRDefault="00786159" w:rsidP="38A4F1A2">
      <w:pPr>
        <w:pStyle w:val="BodyText"/>
        <w:rPr>
          <w:rFonts w:cs="Poppins"/>
        </w:rPr>
      </w:pPr>
      <w:r w:rsidRPr="597828E5">
        <w:rPr>
          <w:rFonts w:cs="Poppins"/>
          <w:b/>
          <w:bCs/>
        </w:rPr>
        <w:t>Responses will be classed as non-confidential unless otherwise stated</w:t>
      </w:r>
      <w:r w:rsidRPr="597828E5">
        <w:rPr>
          <w:rFonts w:cs="Poppins"/>
        </w:rPr>
        <w:t xml:space="preserve">. </w:t>
      </w:r>
      <w:r w:rsidR="3C70AA6B" w:rsidRPr="597828E5">
        <w:rPr>
          <w:rFonts w:cs="Poppins"/>
        </w:rPr>
        <w:t>By submitting a response, your organisation accepts</w:t>
      </w:r>
      <w:r w:rsidR="67CC4E3D" w:rsidRPr="597828E5">
        <w:rPr>
          <w:rFonts w:cs="Poppins"/>
        </w:rPr>
        <w:t xml:space="preserve"> that the </w:t>
      </w:r>
      <w:r w:rsidR="787FD2D5" w:rsidRPr="597828E5">
        <w:rPr>
          <w:rFonts w:cs="Poppins"/>
        </w:rPr>
        <w:t>comments received</w:t>
      </w:r>
      <w:r w:rsidR="00C76B30" w:rsidRPr="597828E5">
        <w:rPr>
          <w:rFonts w:cs="Poppins"/>
        </w:rPr>
        <w:t xml:space="preserve"> c</w:t>
      </w:r>
      <w:r w:rsidR="166BE5D6" w:rsidRPr="597828E5">
        <w:rPr>
          <w:rFonts w:cs="Poppins"/>
        </w:rPr>
        <w:t>ould feature in feedback</w:t>
      </w:r>
      <w:r w:rsidR="50723C0F" w:rsidRPr="597828E5">
        <w:rPr>
          <w:rFonts w:cs="Poppins"/>
        </w:rPr>
        <w:t xml:space="preserve"> summaries</w:t>
      </w:r>
      <w:r w:rsidR="3EF6A4DE" w:rsidRPr="597828E5">
        <w:rPr>
          <w:rFonts w:cs="Poppins"/>
        </w:rPr>
        <w:t xml:space="preserve"> and </w:t>
      </w:r>
      <w:r w:rsidR="1DECB5B3" w:rsidRPr="597828E5">
        <w:rPr>
          <w:rFonts w:cs="Poppins"/>
        </w:rPr>
        <w:t xml:space="preserve">be </w:t>
      </w:r>
      <w:r w:rsidR="3EF6A4DE" w:rsidRPr="597828E5">
        <w:rPr>
          <w:rFonts w:cs="Poppins"/>
        </w:rPr>
        <w:t>shared publicly</w:t>
      </w:r>
      <w:r w:rsidR="5F884574" w:rsidRPr="597828E5">
        <w:rPr>
          <w:rFonts w:cs="Poppins"/>
        </w:rPr>
        <w:t xml:space="preserve"> (including with regulators)</w:t>
      </w:r>
      <w:r w:rsidR="3EF6A4DE" w:rsidRPr="597828E5">
        <w:rPr>
          <w:rFonts w:cs="Poppins"/>
        </w:rPr>
        <w:t>,</w:t>
      </w:r>
      <w:r w:rsidR="391561FD" w:rsidRPr="597828E5">
        <w:rPr>
          <w:rFonts w:cs="Poppins"/>
        </w:rPr>
        <w:t xml:space="preserve"> with comments attributed to your organisation</w:t>
      </w:r>
      <w:r w:rsidRPr="597828E5">
        <w:rPr>
          <w:rFonts w:cs="Poppins"/>
        </w:rPr>
        <w:t>.</w:t>
      </w:r>
    </w:p>
    <w:p w14:paraId="37E73791" w14:textId="77777777" w:rsidR="00153B5F" w:rsidRDefault="26B6EEBD" w:rsidP="38A4F1A2">
      <w:pPr>
        <w:pStyle w:val="BodyText"/>
        <w:rPr>
          <w:rFonts w:cs="Poppins"/>
        </w:rPr>
      </w:pPr>
      <w:r w:rsidRPr="38A4F1A2">
        <w:rPr>
          <w:rFonts w:cs="Poppins"/>
        </w:rPr>
        <w:t xml:space="preserve">If you </w:t>
      </w:r>
      <w:r w:rsidR="6870622D" w:rsidRPr="38A4F1A2">
        <w:rPr>
          <w:rFonts w:cs="Poppins"/>
        </w:rPr>
        <w:t xml:space="preserve">wish to share confidential information, please mark this in the table below and </w:t>
      </w:r>
      <w:r w:rsidR="00B53444" w:rsidRPr="38A4F1A2">
        <w:rPr>
          <w:rFonts w:cs="Poppins"/>
        </w:rPr>
        <w:t>highlight any</w:t>
      </w:r>
      <w:r w:rsidR="5160448B" w:rsidRPr="38A4F1A2">
        <w:rPr>
          <w:rFonts w:cs="Poppins"/>
        </w:rPr>
        <w:t xml:space="preserve"> sensitive information in your response. </w:t>
      </w:r>
    </w:p>
    <w:p w14:paraId="0E5652C9" w14:textId="3870A834" w:rsidR="001D1F1F" w:rsidRDefault="5160448B" w:rsidP="38A4F1A2">
      <w:pPr>
        <w:pStyle w:val="BodyText"/>
        <w:rPr>
          <w:rFonts w:cs="Poppins"/>
        </w:rPr>
      </w:pPr>
      <w:r w:rsidRPr="38A4F1A2">
        <w:rPr>
          <w:rFonts w:cs="Poppins"/>
        </w:rPr>
        <w:t>If marked ‘confidential’</w:t>
      </w:r>
      <w:r w:rsidR="341C3521" w:rsidRPr="38A4F1A2">
        <w:rPr>
          <w:rFonts w:cs="Poppins"/>
        </w:rPr>
        <w:t xml:space="preserve"> in the table below</w:t>
      </w:r>
      <w:r w:rsidRPr="38A4F1A2">
        <w:rPr>
          <w:rFonts w:cs="Poppins"/>
        </w:rPr>
        <w:t>, none of the content in your response will be included in any pu</w:t>
      </w:r>
      <w:r w:rsidR="10456B1E" w:rsidRPr="38A4F1A2">
        <w:rPr>
          <w:rFonts w:cs="Poppins"/>
        </w:rPr>
        <w:t>blic summaries and would only be used by NESO, and Ofgem</w:t>
      </w:r>
      <w:r w:rsidR="35AC093F" w:rsidRPr="38A4F1A2">
        <w:rPr>
          <w:rFonts w:cs="Poppins"/>
        </w:rPr>
        <w:t>/DESNZ</w:t>
      </w:r>
      <w:r w:rsidR="10456B1E" w:rsidRPr="38A4F1A2">
        <w:rPr>
          <w:rFonts w:cs="Poppins"/>
        </w:rPr>
        <w:t xml:space="preserve"> if required, for the purpose of this </w:t>
      </w:r>
      <w:r w:rsidR="6DD335A1" w:rsidRPr="38A4F1A2">
        <w:rPr>
          <w:rFonts w:cs="Poppins"/>
        </w:rPr>
        <w:t>review</w:t>
      </w:r>
      <w:r w:rsidR="10456B1E" w:rsidRPr="38A4F1A2">
        <w:rPr>
          <w:rFonts w:cs="Poppins"/>
        </w:rPr>
        <w:t>.</w:t>
      </w:r>
      <w:r w:rsidR="365D703C" w:rsidRPr="38A4F1A2">
        <w:rPr>
          <w:rFonts w:cs="Poppins"/>
        </w:rPr>
        <w:t xml:space="preserve"> </w:t>
      </w:r>
      <w:r w:rsidR="2811BFF0" w:rsidRPr="38A4F1A2">
        <w:rPr>
          <w:rFonts w:cs="Poppins"/>
        </w:rPr>
        <w:t>Confidentiality is subject to any obligations to disclose information, for example, under the Freedom of Information Act 2000 (FOIA) or the Environmental Information Regulations 2004 (EIR)</w:t>
      </w:r>
      <w:r w:rsidR="00BA2A70" w:rsidRPr="38A4F1A2">
        <w:rPr>
          <w:rStyle w:val="FootnoteReference"/>
          <w:rFonts w:cs="Poppins"/>
        </w:rPr>
        <w:footnoteReference w:id="3"/>
      </w:r>
      <w:r w:rsidR="2811BFF0" w:rsidRPr="38A4F1A2">
        <w:rPr>
          <w:rFonts w:cs="Poppins"/>
        </w:rPr>
        <w:t>. NESO will not disclose information that you have provided to us</w:t>
      </w:r>
      <w:r w:rsidR="201EF691" w:rsidRPr="38A4F1A2">
        <w:rPr>
          <w:rFonts w:cs="Poppins"/>
        </w:rPr>
        <w:t xml:space="preserve"> and</w:t>
      </w:r>
      <w:r w:rsidR="2811BFF0" w:rsidRPr="38A4F1A2">
        <w:rPr>
          <w:rFonts w:cs="Poppins"/>
        </w:rPr>
        <w:t xml:space="preserve"> marked as confidential without consulting with you first. </w:t>
      </w:r>
    </w:p>
    <w:p w14:paraId="5B6E7D99" w14:textId="5E14D36D" w:rsidR="0294FDCA" w:rsidRDefault="0294FDCA" w:rsidP="0294FDCA">
      <w:pPr>
        <w:pStyle w:val="BodyText"/>
        <w:rPr>
          <w:rFonts w:cs="Poppins"/>
          <w:highlight w:val="yellow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3544"/>
        <w:gridCol w:w="3243"/>
        <w:gridCol w:w="2955"/>
      </w:tblGrid>
      <w:tr w:rsidR="00592B69" w14:paraId="58A1D66F" w14:textId="3D6417C9" w:rsidTr="38A4F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dxa"/>
            <w:tcBorders>
              <w:top w:val="single" w:sz="4" w:space="0" w:color="7A3864" w:themeColor="accent2"/>
              <w:bottom w:val="single" w:sz="4" w:space="0" w:color="7A3864" w:themeColor="accent2"/>
              <w:right w:val="single" w:sz="4" w:space="0" w:color="7A3864" w:themeColor="accent2"/>
            </w:tcBorders>
          </w:tcPr>
          <w:p w14:paraId="544ED308" w14:textId="68DA5FB7" w:rsidR="00592B69" w:rsidRPr="004B106E" w:rsidRDefault="46EAFE08" w:rsidP="002D313A">
            <w:pPr>
              <w:pStyle w:val="BodyText"/>
              <w:rPr>
                <w:rFonts w:cs="Poppins"/>
                <w:color w:val="FFFFFF" w:themeColor="background1"/>
              </w:rPr>
            </w:pPr>
            <w:r w:rsidRPr="0294FDCA">
              <w:rPr>
                <w:rFonts w:cs="Poppins"/>
                <w:color w:val="FFFFFF" w:themeColor="background1"/>
              </w:rPr>
              <w:t>Respondent details</w:t>
            </w:r>
            <w:r w:rsidR="16E244F7" w:rsidRPr="0294FDCA">
              <w:rPr>
                <w:rFonts w:cs="Poppins"/>
                <w:color w:val="FFFFFF" w:themeColor="background1"/>
              </w:rPr>
              <w:t xml:space="preserve"> (required)</w:t>
            </w:r>
          </w:p>
        </w:tc>
        <w:tc>
          <w:tcPr>
            <w:tcW w:w="6198" w:type="dxa"/>
            <w:gridSpan w:val="2"/>
            <w:tcBorders>
              <w:left w:val="single" w:sz="4" w:space="0" w:color="7A3864" w:themeColor="accent2"/>
            </w:tcBorders>
          </w:tcPr>
          <w:p w14:paraId="43F13D3B" w14:textId="308C011F" w:rsidR="00592B69" w:rsidRPr="004B106E" w:rsidRDefault="00592B69" w:rsidP="002D313A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FFFFFF" w:themeColor="background1"/>
              </w:rPr>
            </w:pPr>
            <w:r w:rsidRPr="004B106E">
              <w:rPr>
                <w:rFonts w:cs="Poppins"/>
                <w:color w:val="FFFFFF" w:themeColor="background1"/>
              </w:rPr>
              <w:t>Please enter your details</w:t>
            </w:r>
          </w:p>
        </w:tc>
      </w:tr>
      <w:tr w:rsidR="00592B69" w14:paraId="2F22765A" w14:textId="3DB521A9" w:rsidTr="38A4F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7A3864" w:themeColor="accent2"/>
            </w:tcBorders>
          </w:tcPr>
          <w:p w14:paraId="53AC3C8F" w14:textId="744317A1" w:rsidR="00592B69" w:rsidRDefault="46EAFE08" w:rsidP="002D313A">
            <w:pPr>
              <w:pStyle w:val="BodyText"/>
              <w:rPr>
                <w:rFonts w:cs="Poppins"/>
                <w:b w:val="0"/>
                <w:bCs w:val="0"/>
              </w:rPr>
            </w:pPr>
            <w:r w:rsidRPr="0294FDCA">
              <w:rPr>
                <w:rFonts w:cs="Poppins"/>
                <w:b w:val="0"/>
                <w:bCs w:val="0"/>
              </w:rPr>
              <w:t>Respondent name:</w:t>
            </w:r>
          </w:p>
        </w:tc>
        <w:tc>
          <w:tcPr>
            <w:tcW w:w="6198" w:type="dxa"/>
            <w:gridSpan w:val="2"/>
            <w:tcBorders>
              <w:left w:val="single" w:sz="4" w:space="0" w:color="7A3864" w:themeColor="accent2"/>
            </w:tcBorders>
          </w:tcPr>
          <w:p w14:paraId="68D937DE" w14:textId="77777777" w:rsidR="00592B69" w:rsidRDefault="00592B69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  <w:b/>
                <w:bCs/>
              </w:rPr>
            </w:pPr>
          </w:p>
        </w:tc>
      </w:tr>
      <w:tr w:rsidR="00592B69" w14:paraId="0DD902E6" w14:textId="031EF3C1" w:rsidTr="38A4F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A3864" w:themeColor="accent2"/>
              <w:bottom w:val="single" w:sz="4" w:space="0" w:color="7A3864" w:themeColor="accent2"/>
              <w:right w:val="single" w:sz="4" w:space="0" w:color="7A3864" w:themeColor="accent2"/>
            </w:tcBorders>
          </w:tcPr>
          <w:p w14:paraId="582334E8" w14:textId="73F8F837" w:rsidR="00592B69" w:rsidRDefault="46EAFE08" w:rsidP="002D313A">
            <w:pPr>
              <w:pStyle w:val="BodyText"/>
              <w:rPr>
                <w:rFonts w:cs="Poppins"/>
                <w:b w:val="0"/>
                <w:bCs w:val="0"/>
              </w:rPr>
            </w:pPr>
            <w:r w:rsidRPr="0294FDCA">
              <w:rPr>
                <w:rFonts w:cs="Poppins"/>
                <w:b w:val="0"/>
                <w:bCs w:val="0"/>
              </w:rPr>
              <w:t>Company name:</w:t>
            </w:r>
          </w:p>
        </w:tc>
        <w:tc>
          <w:tcPr>
            <w:tcW w:w="6198" w:type="dxa"/>
            <w:gridSpan w:val="2"/>
            <w:tcBorders>
              <w:left w:val="single" w:sz="4" w:space="0" w:color="7A3864" w:themeColor="accent2"/>
            </w:tcBorders>
          </w:tcPr>
          <w:p w14:paraId="5579EAB6" w14:textId="77777777" w:rsidR="00592B69" w:rsidRDefault="00592B69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b/>
                <w:bCs/>
              </w:rPr>
            </w:pPr>
          </w:p>
        </w:tc>
      </w:tr>
      <w:tr w:rsidR="00592B69" w14:paraId="38A5825F" w14:textId="19016800" w:rsidTr="38A4F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7A3864" w:themeColor="accent2"/>
            </w:tcBorders>
          </w:tcPr>
          <w:p w14:paraId="5950DB4A" w14:textId="538253F7" w:rsidR="00592B69" w:rsidRDefault="46EAFE08" w:rsidP="002D313A">
            <w:pPr>
              <w:pStyle w:val="BodyText"/>
              <w:rPr>
                <w:rFonts w:cs="Poppins"/>
                <w:b w:val="0"/>
                <w:bCs w:val="0"/>
              </w:rPr>
            </w:pPr>
            <w:r w:rsidRPr="0294FDCA">
              <w:rPr>
                <w:rFonts w:cs="Poppins"/>
                <w:b w:val="0"/>
                <w:bCs w:val="0"/>
              </w:rPr>
              <w:t>Email address:</w:t>
            </w:r>
          </w:p>
        </w:tc>
        <w:tc>
          <w:tcPr>
            <w:tcW w:w="6198" w:type="dxa"/>
            <w:gridSpan w:val="2"/>
            <w:tcBorders>
              <w:left w:val="single" w:sz="4" w:space="0" w:color="7A3864" w:themeColor="accent2"/>
            </w:tcBorders>
          </w:tcPr>
          <w:p w14:paraId="65FF92B4" w14:textId="77777777" w:rsidR="00592B69" w:rsidRDefault="00592B69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  <w:b/>
                <w:bCs/>
              </w:rPr>
            </w:pPr>
          </w:p>
        </w:tc>
      </w:tr>
      <w:tr w:rsidR="00592B69" w14:paraId="64F3E392" w14:textId="689913D7" w:rsidTr="38A4F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A3864" w:themeColor="accent2"/>
              <w:bottom w:val="single" w:sz="4" w:space="0" w:color="7A3864" w:themeColor="accent2"/>
              <w:right w:val="single" w:sz="4" w:space="0" w:color="7A3864" w:themeColor="accent2"/>
            </w:tcBorders>
          </w:tcPr>
          <w:p w14:paraId="40873A66" w14:textId="64ACE4D7" w:rsidR="00592B69" w:rsidRDefault="00592B69" w:rsidP="002D313A">
            <w:pPr>
              <w:pStyle w:val="BodyText"/>
              <w:rPr>
                <w:rFonts w:cs="Poppins"/>
                <w:b w:val="0"/>
                <w:bCs w:val="0"/>
              </w:rPr>
            </w:pPr>
            <w:r>
              <w:rPr>
                <w:rFonts w:cs="Poppins"/>
                <w:b w:val="0"/>
                <w:bCs w:val="0"/>
              </w:rPr>
              <w:t>Phone number:</w:t>
            </w:r>
          </w:p>
        </w:tc>
        <w:tc>
          <w:tcPr>
            <w:tcW w:w="6198" w:type="dxa"/>
            <w:gridSpan w:val="2"/>
            <w:tcBorders>
              <w:left w:val="single" w:sz="4" w:space="0" w:color="7A3864" w:themeColor="accent2"/>
            </w:tcBorders>
          </w:tcPr>
          <w:p w14:paraId="539AFFB0" w14:textId="77777777" w:rsidR="00592B69" w:rsidRDefault="00592B69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b/>
                <w:bCs/>
              </w:rPr>
            </w:pPr>
          </w:p>
        </w:tc>
      </w:tr>
      <w:tr w:rsidR="006D107A" w14:paraId="13C4DCE4" w14:textId="3AFB5AA7" w:rsidTr="38A4F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tcBorders>
              <w:right w:val="single" w:sz="4" w:space="0" w:color="7A3864" w:themeColor="accent2"/>
            </w:tcBorders>
          </w:tcPr>
          <w:p w14:paraId="7B6E51F2" w14:textId="22DC1261" w:rsidR="006D107A" w:rsidRDefault="221C122A" w:rsidP="002D313A">
            <w:pPr>
              <w:pStyle w:val="BodyText"/>
              <w:rPr>
                <w:rFonts w:cs="Poppins"/>
                <w:b w:val="0"/>
                <w:bCs w:val="0"/>
              </w:rPr>
            </w:pPr>
            <w:r w:rsidRPr="0294FDCA">
              <w:rPr>
                <w:rFonts w:cs="Poppins"/>
                <w:b w:val="0"/>
                <w:bCs w:val="0"/>
              </w:rPr>
              <w:t>Which best describes your organisation?</w:t>
            </w:r>
          </w:p>
        </w:tc>
        <w:tc>
          <w:tcPr>
            <w:tcW w:w="3243" w:type="dxa"/>
            <w:tcBorders>
              <w:left w:val="single" w:sz="4" w:space="0" w:color="7A3864" w:themeColor="accent2"/>
            </w:tcBorders>
          </w:tcPr>
          <w:p w14:paraId="524A9F0F" w14:textId="6BE43F43" w:rsidR="006D107A" w:rsidRPr="004B106E" w:rsidRDefault="00000000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-74101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Consumer body</w:t>
            </w:r>
          </w:p>
        </w:tc>
        <w:tc>
          <w:tcPr>
            <w:tcW w:w="2955" w:type="dxa"/>
          </w:tcPr>
          <w:p w14:paraId="57D18159" w14:textId="7A17A0CE" w:rsidR="006D107A" w:rsidRPr="004B106E" w:rsidRDefault="00000000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-14105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Storage</w:t>
            </w:r>
          </w:p>
        </w:tc>
      </w:tr>
      <w:tr w:rsidR="006D107A" w14:paraId="390FD012" w14:textId="77777777" w:rsidTr="38A4F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58D2A466" w14:textId="77777777" w:rsidR="006D107A" w:rsidRDefault="006D107A" w:rsidP="002D313A">
            <w:pPr>
              <w:pStyle w:val="BodyText"/>
              <w:rPr>
                <w:rFonts w:cs="Poppins"/>
                <w:b w:val="0"/>
                <w:bCs w:val="0"/>
              </w:rPr>
            </w:pPr>
          </w:p>
        </w:tc>
        <w:tc>
          <w:tcPr>
            <w:tcW w:w="3243" w:type="dxa"/>
            <w:tcBorders>
              <w:left w:val="single" w:sz="4" w:space="0" w:color="7A3864" w:themeColor="accent2"/>
            </w:tcBorders>
          </w:tcPr>
          <w:p w14:paraId="23F9C2F6" w14:textId="6E77F23A" w:rsidR="006D107A" w:rsidRPr="004B106E" w:rsidRDefault="00000000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55443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Demand</w:t>
            </w:r>
          </w:p>
        </w:tc>
        <w:tc>
          <w:tcPr>
            <w:tcW w:w="2955" w:type="dxa"/>
          </w:tcPr>
          <w:p w14:paraId="3FB90C0B" w14:textId="36E6B5B2" w:rsidR="006D107A" w:rsidRPr="004B106E" w:rsidRDefault="00000000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-45140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Supplier</w:t>
            </w:r>
          </w:p>
        </w:tc>
      </w:tr>
      <w:tr w:rsidR="006D107A" w14:paraId="0AC3A35C" w14:textId="77777777" w:rsidTr="38A4F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081CC94F" w14:textId="77777777" w:rsidR="006D107A" w:rsidRDefault="006D107A" w:rsidP="002D313A">
            <w:pPr>
              <w:pStyle w:val="BodyText"/>
              <w:rPr>
                <w:rFonts w:cs="Poppins"/>
                <w:b w:val="0"/>
                <w:bCs w:val="0"/>
              </w:rPr>
            </w:pPr>
          </w:p>
        </w:tc>
        <w:tc>
          <w:tcPr>
            <w:tcW w:w="3243" w:type="dxa"/>
            <w:tcBorders>
              <w:left w:val="single" w:sz="4" w:space="0" w:color="7A3864" w:themeColor="accent2"/>
            </w:tcBorders>
          </w:tcPr>
          <w:p w14:paraId="53639ED6" w14:textId="68FEA977" w:rsidR="006D107A" w:rsidRPr="004B106E" w:rsidRDefault="00000000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5158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Distribution Network Operator</w:t>
            </w:r>
          </w:p>
        </w:tc>
        <w:tc>
          <w:tcPr>
            <w:tcW w:w="2955" w:type="dxa"/>
          </w:tcPr>
          <w:p w14:paraId="2FD147FE" w14:textId="5185ECFF" w:rsidR="006D107A" w:rsidRPr="004B106E" w:rsidRDefault="00000000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112734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System Operator</w:t>
            </w:r>
          </w:p>
        </w:tc>
      </w:tr>
      <w:tr w:rsidR="006D107A" w14:paraId="54C31025" w14:textId="77777777" w:rsidTr="38A4F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5DA24CD9" w14:textId="77777777" w:rsidR="006D107A" w:rsidRDefault="006D107A" w:rsidP="002D313A">
            <w:pPr>
              <w:pStyle w:val="BodyText"/>
              <w:rPr>
                <w:rFonts w:cs="Poppins"/>
                <w:b w:val="0"/>
                <w:bCs w:val="0"/>
              </w:rPr>
            </w:pPr>
          </w:p>
        </w:tc>
        <w:tc>
          <w:tcPr>
            <w:tcW w:w="3243" w:type="dxa"/>
            <w:tcBorders>
              <w:left w:val="single" w:sz="4" w:space="0" w:color="7A3864" w:themeColor="accent2"/>
            </w:tcBorders>
          </w:tcPr>
          <w:p w14:paraId="366B1C0D" w14:textId="0A599CD8" w:rsidR="006D107A" w:rsidRPr="004B106E" w:rsidRDefault="00000000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10634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Generator</w:t>
            </w:r>
          </w:p>
        </w:tc>
        <w:tc>
          <w:tcPr>
            <w:tcW w:w="2955" w:type="dxa"/>
          </w:tcPr>
          <w:p w14:paraId="46200094" w14:textId="264AA17A" w:rsidR="006D107A" w:rsidRPr="004B106E" w:rsidRDefault="00000000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-11915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Transmission Owner</w:t>
            </w:r>
          </w:p>
        </w:tc>
      </w:tr>
      <w:tr w:rsidR="006D107A" w14:paraId="34C329D3" w14:textId="77777777" w:rsidTr="38A4F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4A88BF7C" w14:textId="77777777" w:rsidR="006D107A" w:rsidRDefault="006D107A" w:rsidP="002D313A">
            <w:pPr>
              <w:pStyle w:val="BodyText"/>
              <w:rPr>
                <w:rFonts w:cs="Poppins"/>
                <w:b w:val="0"/>
                <w:bCs w:val="0"/>
              </w:rPr>
            </w:pPr>
          </w:p>
        </w:tc>
        <w:tc>
          <w:tcPr>
            <w:tcW w:w="3243" w:type="dxa"/>
            <w:tcBorders>
              <w:left w:val="single" w:sz="4" w:space="0" w:color="7A3864" w:themeColor="accent2"/>
            </w:tcBorders>
          </w:tcPr>
          <w:p w14:paraId="7B26E225" w14:textId="4EB0316E" w:rsidR="006D107A" w:rsidRPr="004B106E" w:rsidRDefault="00000000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5570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Industry Body</w:t>
            </w:r>
          </w:p>
        </w:tc>
        <w:tc>
          <w:tcPr>
            <w:tcW w:w="2955" w:type="dxa"/>
          </w:tcPr>
          <w:p w14:paraId="1DBE9E14" w14:textId="50D36444" w:rsidR="006D107A" w:rsidRPr="004B106E" w:rsidRDefault="00000000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-25706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Virtual Lead Party</w:t>
            </w:r>
          </w:p>
        </w:tc>
      </w:tr>
      <w:tr w:rsidR="006D107A" w14:paraId="128E1BE0" w14:textId="77777777" w:rsidTr="38A4F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29688BA2" w14:textId="77777777" w:rsidR="006D107A" w:rsidRDefault="006D107A" w:rsidP="002D313A">
            <w:pPr>
              <w:pStyle w:val="BodyText"/>
              <w:rPr>
                <w:rFonts w:cs="Poppins"/>
                <w:b w:val="0"/>
                <w:bCs w:val="0"/>
              </w:rPr>
            </w:pPr>
          </w:p>
        </w:tc>
        <w:tc>
          <w:tcPr>
            <w:tcW w:w="3243" w:type="dxa"/>
            <w:tcBorders>
              <w:left w:val="single" w:sz="4" w:space="0" w:color="7A3864" w:themeColor="accent2"/>
            </w:tcBorders>
          </w:tcPr>
          <w:p w14:paraId="2AC19773" w14:textId="0147E1CE" w:rsidR="006D107A" w:rsidRPr="004B106E" w:rsidRDefault="00000000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20276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Interconnector</w:t>
            </w:r>
          </w:p>
        </w:tc>
        <w:tc>
          <w:tcPr>
            <w:tcW w:w="2955" w:type="dxa"/>
          </w:tcPr>
          <w:p w14:paraId="192FD0BB" w14:textId="77777777" w:rsidR="006D107A" w:rsidRPr="004B106E" w:rsidRDefault="00000000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152621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7A" w:rsidRPr="004B106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D107A" w:rsidRPr="004B106E">
              <w:rPr>
                <w:rFonts w:cs="Poppins"/>
              </w:rPr>
              <w:t>Other (please state):</w:t>
            </w:r>
          </w:p>
          <w:p w14:paraId="5FDBE932" w14:textId="260B6FE5" w:rsidR="006D107A" w:rsidRPr="004B106E" w:rsidRDefault="006D107A" w:rsidP="002D31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FD46FF" w14:paraId="7B4B9321" w14:textId="77777777" w:rsidTr="38A4F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7A3864" w:themeColor="accent2"/>
            </w:tcBorders>
          </w:tcPr>
          <w:p w14:paraId="0CE3FFD7" w14:textId="58746386" w:rsidR="47178737" w:rsidRDefault="47178737" w:rsidP="38A4F1A2">
            <w:pPr>
              <w:pStyle w:val="BodyText"/>
              <w:rPr>
                <w:rFonts w:cs="Poppins"/>
                <w:b w:val="0"/>
                <w:bCs w:val="0"/>
              </w:rPr>
            </w:pPr>
            <w:r w:rsidRPr="38A4F1A2">
              <w:rPr>
                <w:rFonts w:cs="Poppins"/>
                <w:b w:val="0"/>
                <w:bCs w:val="0"/>
              </w:rPr>
              <w:t>Please mark here if you would like your response to be treated as confidential:</w:t>
            </w:r>
          </w:p>
          <w:p w14:paraId="51C13161" w14:textId="3159338A" w:rsidR="47178737" w:rsidRDefault="47178737" w:rsidP="38A4F1A2">
            <w:pPr>
              <w:pStyle w:val="BodyText"/>
              <w:rPr>
                <w:rFonts w:cs="Poppins"/>
                <w:b w:val="0"/>
                <w:bCs w:val="0"/>
              </w:rPr>
            </w:pPr>
            <w:r w:rsidRPr="38A4F1A2">
              <w:rPr>
                <w:rFonts w:cs="Poppins"/>
                <w:b w:val="0"/>
                <w:bCs w:val="0"/>
              </w:rPr>
              <w:t>(Note: clarification on confidentiality can be found in the ’How to respond’ section above)</w:t>
            </w:r>
          </w:p>
        </w:tc>
        <w:tc>
          <w:tcPr>
            <w:tcW w:w="6198" w:type="dxa"/>
            <w:gridSpan w:val="2"/>
            <w:tcBorders>
              <w:left w:val="single" w:sz="4" w:space="0" w:color="7A3864" w:themeColor="accent2"/>
            </w:tcBorders>
          </w:tcPr>
          <w:p w14:paraId="1255A946" w14:textId="1FCECCBB" w:rsidR="00FD46FF" w:rsidRPr="004B106E" w:rsidRDefault="00000000" w:rsidP="002D313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</w:rPr>
                <w:id w:val="-8107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A2AAE23" w:rsidRPr="0294FDCA">
                  <w:rPr>
                    <w:rFonts w:ascii="MS Gothic" w:eastAsia="MS Gothic" w:hAnsi="MS Gothic" w:cs="Poppins"/>
                  </w:rPr>
                  <w:t>☐</w:t>
                </w:r>
              </w:sdtContent>
            </w:sdt>
            <w:r w:rsidR="3A2AAE23" w:rsidRPr="0294FDCA">
              <w:rPr>
                <w:rFonts w:cs="Poppins"/>
              </w:rPr>
              <w:t>Confidential</w:t>
            </w:r>
            <w:r w:rsidR="7122E5D5" w:rsidRPr="0294FDCA">
              <w:rPr>
                <w:rFonts w:cs="Poppins"/>
              </w:rPr>
              <w:t xml:space="preserve"> (please specifically highlight confidential comments within your response)</w:t>
            </w:r>
          </w:p>
        </w:tc>
      </w:tr>
    </w:tbl>
    <w:p w14:paraId="193BDAAA" w14:textId="645906D6" w:rsidR="002D313A" w:rsidRDefault="008254B5" w:rsidP="002D313A">
      <w:pPr>
        <w:pStyle w:val="Heading2"/>
        <w:rPr>
          <w:rFonts w:cs="Poppins"/>
        </w:rPr>
      </w:pPr>
      <w:r>
        <w:rPr>
          <w:rFonts w:cs="Poppins"/>
        </w:rPr>
        <w:t>Questions</w:t>
      </w:r>
    </w:p>
    <w:p w14:paraId="40DA47DD" w14:textId="1C57EB22" w:rsidR="00F56980" w:rsidRDefault="00F56980" w:rsidP="00F56980">
      <w:pPr>
        <w:pStyle w:val="BodyText"/>
      </w:pPr>
      <w:r>
        <w:t xml:space="preserve">Please express your views in the right-hand side of the table below, </w:t>
      </w:r>
      <w:r w:rsidRPr="005D4195">
        <w:t xml:space="preserve">sharing reasoning and examples for points made and expected impacts for </w:t>
      </w:r>
      <w:r w:rsidR="0017334B" w:rsidRPr="005D4195">
        <w:t xml:space="preserve">any </w:t>
      </w:r>
      <w:r w:rsidRPr="005D4195">
        <w:t>suggested changes</w:t>
      </w:r>
      <w:r>
        <w:t>.</w:t>
      </w:r>
    </w:p>
    <w:tbl>
      <w:tblPr>
        <w:tblStyle w:val="ListTable3-Accent2"/>
        <w:tblW w:w="9776" w:type="dxa"/>
        <w:tblLook w:val="04A0" w:firstRow="1" w:lastRow="0" w:firstColumn="1" w:lastColumn="0" w:noHBand="0" w:noVBand="1"/>
      </w:tblPr>
      <w:tblGrid>
        <w:gridCol w:w="5946"/>
        <w:gridCol w:w="3830"/>
      </w:tblGrid>
      <w:tr w:rsidR="008339FE" w14:paraId="21C5029C" w14:textId="77777777" w:rsidTr="59782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0" w:type="dxa"/>
            <w:tcBorders>
              <w:bottom w:val="single" w:sz="4" w:space="0" w:color="7A3864" w:themeColor="accent2"/>
            </w:tcBorders>
          </w:tcPr>
          <w:p w14:paraId="082D0CF6" w14:textId="7BDEDCF6" w:rsidR="008339FE" w:rsidRDefault="008339FE" w:rsidP="00F56980">
            <w:pPr>
              <w:pStyle w:val="BodyText"/>
            </w:pPr>
            <w:r w:rsidRPr="00814D58">
              <w:rPr>
                <w:color w:val="FFFFFF" w:themeColor="background1"/>
              </w:rPr>
              <w:t>Question 1</w:t>
            </w:r>
          </w:p>
        </w:tc>
        <w:tc>
          <w:tcPr>
            <w:tcW w:w="6266" w:type="dxa"/>
          </w:tcPr>
          <w:p w14:paraId="4356EE1E" w14:textId="77777777" w:rsidR="008339FE" w:rsidRDefault="008339FE" w:rsidP="00F5698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9FE" w14:paraId="3EF10C5F" w14:textId="77777777" w:rsidTr="5978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tcBorders>
              <w:right w:val="single" w:sz="4" w:space="0" w:color="7A3864" w:themeColor="accent2"/>
            </w:tcBorders>
          </w:tcPr>
          <w:p w14:paraId="08AA5510" w14:textId="67331B78" w:rsidR="008339FE" w:rsidRPr="00DC0C7C" w:rsidRDefault="4CA8D8D5" w:rsidP="00DC0C7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Is your organisation currently signed up to the NTC compensation methodology in </w:t>
            </w:r>
            <w:hyperlink r:id="rId14">
              <w:r w:rsidRPr="597828E5">
                <w:rPr>
                  <w:rStyle w:val="Hyperlink"/>
                </w:rPr>
                <w:t>https://www.neso.energy/document/362376/download</w:t>
              </w:r>
            </w:hyperlink>
            <w:r w:rsidR="00C76B30">
              <w:t xml:space="preserve"> </w:t>
            </w:r>
            <w:r>
              <w:rPr>
                <w:b w:val="0"/>
                <w:bCs w:val="0"/>
              </w:rPr>
              <w:t xml:space="preserve">?  </w:t>
            </w:r>
            <w:r w:rsidRPr="597828E5">
              <w:rPr>
                <w:rFonts w:ascii="Times New Roman" w:hAnsi="Times New Roman" w:cs="Times New Roman"/>
                <w:b w:val="0"/>
                <w:bCs w:val="0"/>
              </w:rPr>
              <w:t>​</w:t>
            </w:r>
          </w:p>
          <w:p w14:paraId="1E01EF6B" w14:textId="77777777" w:rsidR="008339FE" w:rsidRDefault="008339FE" w:rsidP="00F56980">
            <w:pPr>
              <w:pStyle w:val="BodyText"/>
            </w:pP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6F172264" w14:textId="6B597D57" w:rsidR="008339FE" w:rsidRDefault="00000000" w:rsidP="00F569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5896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9FE">
              <w:t>Yes</w:t>
            </w:r>
          </w:p>
          <w:p w14:paraId="4B4AA00E" w14:textId="693DC7EC" w:rsidR="008339FE" w:rsidRDefault="00000000" w:rsidP="00F569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603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5293B03" w:rsidRPr="38A4F1A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CC56807">
              <w:t>No</w:t>
            </w:r>
          </w:p>
        </w:tc>
      </w:tr>
      <w:tr w:rsidR="008339FE" w14:paraId="36E3BA62" w14:textId="77777777" w:rsidTr="59782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</w:tcPr>
          <w:p w14:paraId="40746D8E" w14:textId="77777777" w:rsidR="008339FE" w:rsidRDefault="008339FE" w:rsidP="00F56980">
            <w:pPr>
              <w:pStyle w:val="BodyText"/>
            </w:pP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5C724A0B" w14:textId="15B52693" w:rsidR="008339FE" w:rsidRDefault="3CC56807" w:rsidP="00F569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‘</w:t>
            </w:r>
            <w:r w:rsidR="22125B4D">
              <w:t>N</w:t>
            </w:r>
            <w:r>
              <w:t>o’, please outline why</w:t>
            </w:r>
            <w:r w:rsidR="71F179BE">
              <w:t>:</w:t>
            </w:r>
          </w:p>
          <w:p w14:paraId="44DF66F0" w14:textId="77777777" w:rsidR="000D0E2B" w:rsidRDefault="000D0E2B" w:rsidP="00F569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850CB9" w14:textId="77777777" w:rsidR="000D0E2B" w:rsidRDefault="000D0E2B" w:rsidP="00F569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182CB1" w14:textId="77777777" w:rsidR="000D0E2B" w:rsidRDefault="000D0E2B" w:rsidP="00F569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9BC0A5" w14:textId="37328FE6" w:rsidR="000D0E2B" w:rsidRDefault="000D0E2B" w:rsidP="00F569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9FE" w14:paraId="65DC19B5" w14:textId="77777777" w:rsidTr="5978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  <w:shd w:val="clear" w:color="auto" w:fill="7A3864" w:themeFill="accent2"/>
          </w:tcPr>
          <w:p w14:paraId="5972088F" w14:textId="3F4DD9C8" w:rsidR="008339FE" w:rsidRDefault="28F0973F" w:rsidP="597828E5">
            <w:pPr>
              <w:pStyle w:val="BodyText"/>
              <w:rPr>
                <w:color w:val="FFFFFF" w:themeColor="background1"/>
              </w:rPr>
            </w:pPr>
            <w:r w:rsidRPr="597828E5">
              <w:rPr>
                <w:color w:val="FFFFFF" w:themeColor="background1"/>
              </w:rPr>
              <w:t>Question 2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  <w:shd w:val="clear" w:color="auto" w:fill="7A3864" w:themeFill="accent2"/>
          </w:tcPr>
          <w:p w14:paraId="06BF3051" w14:textId="77777777" w:rsidR="008339FE" w:rsidRDefault="008339FE" w:rsidP="00F569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0E2B" w14:paraId="54D6140D" w14:textId="77777777" w:rsidTr="59782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7A3864" w:themeColor="accent2"/>
              <w:bottom w:val="single" w:sz="4" w:space="0" w:color="7A3864" w:themeColor="accent2"/>
              <w:right w:val="single" w:sz="4" w:space="0" w:color="7A3864" w:themeColor="accent2"/>
            </w:tcBorders>
          </w:tcPr>
          <w:p w14:paraId="47D32BF7" w14:textId="205CC59F" w:rsidR="000D0E2B" w:rsidRPr="000E2F55" w:rsidRDefault="1D84F2AF" w:rsidP="597828E5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 </w:t>
            </w:r>
            <w:r w:rsidR="3E404B8B">
              <w:rPr>
                <w:b w:val="0"/>
                <w:bCs w:val="0"/>
              </w:rPr>
              <w:t>the view of your organisation</w:t>
            </w:r>
            <w:r>
              <w:rPr>
                <w:b w:val="0"/>
                <w:bCs w:val="0"/>
              </w:rPr>
              <w:t>, does the current methodology meet the Commercial Principles outlined in Section 3 of the document</w:t>
            </w:r>
            <w:r w:rsidR="13AD9450">
              <w:rPr>
                <w:b w:val="0"/>
                <w:bCs w:val="0"/>
              </w:rPr>
              <w:t xml:space="preserve"> (e.g. cost neutrality)</w:t>
            </w:r>
            <w:r>
              <w:rPr>
                <w:b w:val="0"/>
                <w:bCs w:val="0"/>
              </w:rPr>
              <w:t>?</w:t>
            </w:r>
            <w:r w:rsidR="1E937A9F" w:rsidRPr="597828E5">
              <w:rPr>
                <w:rFonts w:ascii="Times New Roman" w:hAnsi="Times New Roman" w:cs="Times New Roman"/>
                <w:b w:val="0"/>
                <w:bCs w:val="0"/>
              </w:rPr>
              <w:t>​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5733C4AB" w14:textId="77777777" w:rsidR="000D0E2B" w:rsidRDefault="00000000" w:rsidP="000D0E2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7525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E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E2B">
              <w:t>Yes</w:t>
            </w:r>
          </w:p>
          <w:p w14:paraId="0B4A7C33" w14:textId="780CA950" w:rsidR="000D0E2B" w:rsidRDefault="00000000" w:rsidP="000D0E2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0282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E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E2B">
              <w:t>No</w:t>
            </w:r>
          </w:p>
        </w:tc>
      </w:tr>
      <w:tr w:rsidR="000D0E2B" w14:paraId="73C211BA" w14:textId="77777777" w:rsidTr="5978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</w:tcPr>
          <w:p w14:paraId="33CC2970" w14:textId="77777777" w:rsidR="000D0E2B" w:rsidRDefault="000D0E2B" w:rsidP="000D0E2B">
            <w:pPr>
              <w:pStyle w:val="BodyText"/>
            </w:pP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18C8500F" w14:textId="3A674C6B" w:rsidR="000D0E2B" w:rsidRDefault="00603B91" w:rsidP="000D0E2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Please illustrate how the Commercial Principles are/are not met in the current document</w:t>
            </w:r>
            <w:r w:rsidR="000D0E2B">
              <w:t>:</w:t>
            </w:r>
          </w:p>
          <w:p w14:paraId="57B41BCD" w14:textId="77777777" w:rsidR="000D0E2B" w:rsidRDefault="000D0E2B" w:rsidP="000D0E2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9B64D6" w14:textId="77777777" w:rsidR="000D0E2B" w:rsidRDefault="000D0E2B" w:rsidP="000D0E2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7825A7" w14:textId="77777777" w:rsidR="000D0E2B" w:rsidRDefault="000D0E2B" w:rsidP="000D0E2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5E8B0C" w14:textId="77777777" w:rsidR="000D0E2B" w:rsidRDefault="000D0E2B" w:rsidP="000D0E2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3B91" w14:paraId="40639E0E" w14:textId="77777777" w:rsidTr="59782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  <w:shd w:val="clear" w:color="auto" w:fill="7A3864" w:themeFill="accent2"/>
          </w:tcPr>
          <w:p w14:paraId="0C4BCF53" w14:textId="0E6BE258" w:rsidR="00603B91" w:rsidRPr="00603B91" w:rsidRDefault="4ACFC8A0" w:rsidP="00603B91">
            <w:pPr>
              <w:pStyle w:val="BodyText"/>
              <w:rPr>
                <w:color w:val="FFFFFF" w:themeColor="background1"/>
              </w:rPr>
            </w:pPr>
            <w:r w:rsidRPr="597828E5">
              <w:rPr>
                <w:color w:val="FFFFFF" w:themeColor="background1"/>
              </w:rPr>
              <w:t>Question 3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  <w:shd w:val="clear" w:color="auto" w:fill="7A3864" w:themeFill="accent2"/>
          </w:tcPr>
          <w:p w14:paraId="535D611E" w14:textId="77777777" w:rsidR="00603B91" w:rsidRPr="00603B91" w:rsidRDefault="00603B91" w:rsidP="00603B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03B91" w14:paraId="43516398" w14:textId="77777777" w:rsidTr="5978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</w:tcPr>
          <w:p w14:paraId="19F896CD" w14:textId="47786C46" w:rsidR="00603B91" w:rsidRPr="002C09E4" w:rsidRDefault="1D0C9247" w:rsidP="002C09E4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 the view of your organisation, does this methodology promote transparency in the </w:t>
            </w:r>
            <w:r w:rsidR="1AAE6EE8">
              <w:rPr>
                <w:b w:val="0"/>
                <w:bCs w:val="0"/>
              </w:rPr>
              <w:t xml:space="preserve">compensation </w:t>
            </w:r>
            <w:r>
              <w:rPr>
                <w:b w:val="0"/>
                <w:bCs w:val="0"/>
              </w:rPr>
              <w:t>process</w:t>
            </w:r>
            <w:r w:rsidR="00894A79">
              <w:rPr>
                <w:b w:val="0"/>
                <w:bCs w:val="0"/>
              </w:rPr>
              <w:t xml:space="preserve"> to the wider</w:t>
            </w:r>
            <w:r w:rsidR="0039272F">
              <w:rPr>
                <w:b w:val="0"/>
                <w:bCs w:val="0"/>
              </w:rPr>
              <w:t xml:space="preserve"> industry?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51E16AA5" w14:textId="77777777" w:rsidR="00603B91" w:rsidRDefault="00000000" w:rsidP="00603B9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0790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B91">
              <w:t>Yes</w:t>
            </w:r>
          </w:p>
          <w:p w14:paraId="70BDFAF4" w14:textId="4FC51555" w:rsidR="00603B91" w:rsidRDefault="00000000" w:rsidP="00603B9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4555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B91">
              <w:t>No</w:t>
            </w:r>
          </w:p>
        </w:tc>
      </w:tr>
      <w:tr w:rsidR="00603B91" w14:paraId="565A6DB9" w14:textId="77777777" w:rsidTr="59782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</w:tcPr>
          <w:p w14:paraId="1E19074B" w14:textId="77777777" w:rsidR="00603B91" w:rsidRPr="00603B91" w:rsidRDefault="00603B91" w:rsidP="00603B91">
            <w:pPr>
              <w:pStyle w:val="BodyText"/>
            </w:pP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663027D9" w14:textId="099034FE" w:rsidR="00603B91" w:rsidRDefault="00F1756E" w:rsidP="00603B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offer comments to support your answer:</w:t>
            </w:r>
          </w:p>
          <w:p w14:paraId="6075A146" w14:textId="77777777" w:rsidR="00603B91" w:rsidRDefault="00603B91" w:rsidP="00603B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B8D46C" w14:textId="77777777" w:rsidR="00603B91" w:rsidRDefault="00603B91" w:rsidP="00603B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B9EC7B" w14:textId="77777777" w:rsidR="00603B91" w:rsidRDefault="00603B91" w:rsidP="00603B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3982C4" w14:textId="77777777" w:rsidR="00603B91" w:rsidRDefault="00603B91" w:rsidP="00603B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F1756E" w14:paraId="1B963991" w14:textId="77777777" w:rsidTr="5978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  <w:shd w:val="clear" w:color="auto" w:fill="7A3864" w:themeFill="accent2"/>
          </w:tcPr>
          <w:p w14:paraId="0C7ED8E6" w14:textId="38C7715E" w:rsidR="00F1756E" w:rsidRPr="00603B91" w:rsidRDefault="6639A0A0" w:rsidP="597828E5">
            <w:pPr>
              <w:pStyle w:val="BodyText"/>
              <w:rPr>
                <w:color w:val="FFFFFF" w:themeColor="background1"/>
              </w:rPr>
            </w:pPr>
            <w:r w:rsidRPr="597828E5">
              <w:rPr>
                <w:color w:val="FFFFFF" w:themeColor="background1"/>
              </w:rPr>
              <w:t>Question 4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  <w:shd w:val="clear" w:color="auto" w:fill="7A3864" w:themeFill="accent2"/>
          </w:tcPr>
          <w:p w14:paraId="7953B6BC" w14:textId="77777777" w:rsidR="00F1756E" w:rsidRDefault="00F1756E" w:rsidP="00F1756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56E" w14:paraId="058EB406" w14:textId="77777777" w:rsidTr="59782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</w:tcPr>
          <w:p w14:paraId="36B84C2B" w14:textId="5715509D" w:rsidR="00F1756E" w:rsidRPr="00603B91" w:rsidRDefault="28FBFBFA" w:rsidP="00F1756E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Are there elements of the </w:t>
            </w:r>
            <w:r w:rsidR="52496122">
              <w:rPr>
                <w:b w:val="0"/>
                <w:bCs w:val="0"/>
              </w:rPr>
              <w:t xml:space="preserve">compensation </w:t>
            </w:r>
            <w:r>
              <w:rPr>
                <w:b w:val="0"/>
                <w:bCs w:val="0"/>
              </w:rPr>
              <w:t>methodology that your organisation would suggest changes to?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3B8BBA7E" w14:textId="77777777" w:rsidR="00F1756E" w:rsidRDefault="00000000" w:rsidP="00F1756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624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5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56E">
              <w:t>Yes</w:t>
            </w:r>
          </w:p>
          <w:p w14:paraId="574ED002" w14:textId="7A7E51A8" w:rsidR="00F1756E" w:rsidRDefault="00000000" w:rsidP="00F1756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633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5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56E">
              <w:t>No</w:t>
            </w:r>
          </w:p>
        </w:tc>
      </w:tr>
      <w:tr w:rsidR="00F1756E" w14:paraId="1A8C522B" w14:textId="77777777" w:rsidTr="5978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</w:tcPr>
          <w:p w14:paraId="45F86D8A" w14:textId="77777777" w:rsidR="00F1756E" w:rsidRPr="00603B91" w:rsidRDefault="00F1756E" w:rsidP="00F1756E">
            <w:pPr>
              <w:pStyle w:val="BodyText"/>
            </w:pP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7E49BC3C" w14:textId="156098E4" w:rsidR="00F1756E" w:rsidRDefault="478DF99D" w:rsidP="00F1756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‘Yes’, please </w:t>
            </w:r>
            <w:r w:rsidR="35BA6F87">
              <w:t xml:space="preserve">provide </w:t>
            </w:r>
            <w:r>
              <w:t xml:space="preserve">examples/data </w:t>
            </w:r>
            <w:r w:rsidR="69A0CFA2">
              <w:t>to justify a</w:t>
            </w:r>
            <w:r w:rsidR="5DE0B2B3">
              <w:t xml:space="preserve"> suggested change </w:t>
            </w:r>
            <w:r>
              <w:t xml:space="preserve">and </w:t>
            </w:r>
            <w:r w:rsidR="43FC71FA">
              <w:t>the impact of th</w:t>
            </w:r>
            <w:r w:rsidR="58B0BACA">
              <w:t>at</w:t>
            </w:r>
            <w:r w:rsidR="43FC71FA">
              <w:t xml:space="preserve"> change</w:t>
            </w:r>
            <w:r>
              <w:t>:</w:t>
            </w:r>
          </w:p>
          <w:p w14:paraId="6DC7529D" w14:textId="77777777" w:rsidR="00F1756E" w:rsidRDefault="00F1756E" w:rsidP="00F1756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B944F4" w14:textId="77777777" w:rsidR="00F1756E" w:rsidRDefault="00F1756E" w:rsidP="00F1756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8F17AE" w14:textId="77777777" w:rsidR="00F1756E" w:rsidRDefault="00F1756E" w:rsidP="00F1756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1A26" w14:paraId="3BDA1103" w14:textId="77777777" w:rsidTr="59782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  <w:shd w:val="clear" w:color="auto" w:fill="7A3864" w:themeFill="accent2"/>
          </w:tcPr>
          <w:p w14:paraId="73A524BF" w14:textId="157666AA" w:rsidR="00851A26" w:rsidRPr="00603B91" w:rsidRDefault="77E32E9A" w:rsidP="597828E5">
            <w:pPr>
              <w:pStyle w:val="BodyText"/>
              <w:rPr>
                <w:color w:val="FFFFFF" w:themeColor="background1"/>
              </w:rPr>
            </w:pPr>
            <w:r w:rsidRPr="597828E5">
              <w:rPr>
                <w:color w:val="FFFFFF" w:themeColor="background1"/>
              </w:rPr>
              <w:t>Question 5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  <w:shd w:val="clear" w:color="auto" w:fill="7A3864" w:themeFill="accent2"/>
          </w:tcPr>
          <w:p w14:paraId="217FB89D" w14:textId="77777777" w:rsidR="00851A26" w:rsidRPr="00F76949" w:rsidRDefault="00851A26" w:rsidP="00851A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1A26" w14:paraId="1BE41228" w14:textId="77777777" w:rsidTr="5978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</w:tcPr>
          <w:p w14:paraId="03E8AC1B" w14:textId="531E56D0" w:rsidR="00851A26" w:rsidRPr="00603B91" w:rsidRDefault="4646038A" w:rsidP="00851A26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</w:t>
            </w:r>
            <w:r w:rsidR="3558474C">
              <w:rPr>
                <w:b w:val="0"/>
                <w:bCs w:val="0"/>
              </w:rPr>
              <w:t xml:space="preserve">es </w:t>
            </w:r>
            <w:r>
              <w:rPr>
                <w:b w:val="0"/>
                <w:bCs w:val="0"/>
              </w:rPr>
              <w:t xml:space="preserve">your organisation have experience of the </w:t>
            </w:r>
            <w:r w:rsidR="54820385">
              <w:rPr>
                <w:b w:val="0"/>
                <w:bCs w:val="0"/>
              </w:rPr>
              <w:t>settl</w:t>
            </w:r>
            <w:r>
              <w:rPr>
                <w:b w:val="0"/>
                <w:bCs w:val="0"/>
              </w:rPr>
              <w:t>e</w:t>
            </w:r>
            <w:r w:rsidR="54820385">
              <w:rPr>
                <w:b w:val="0"/>
                <w:bCs w:val="0"/>
              </w:rPr>
              <w:t>ment</w:t>
            </w:r>
            <w:r>
              <w:rPr>
                <w:b w:val="0"/>
                <w:bCs w:val="0"/>
              </w:rPr>
              <w:t xml:space="preserve"> process</w:t>
            </w:r>
            <w:r w:rsidR="7F42F6F3">
              <w:rPr>
                <w:b w:val="0"/>
                <w:bCs w:val="0"/>
              </w:rPr>
              <w:t xml:space="preserve"> (se</w:t>
            </w:r>
            <w:r w:rsidR="6A410E2F">
              <w:rPr>
                <w:b w:val="0"/>
                <w:bCs w:val="0"/>
              </w:rPr>
              <w:t>e Section 7</w:t>
            </w:r>
            <w:r w:rsidR="09AABC97"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5A8639D9" w14:textId="77777777" w:rsidR="00851A26" w:rsidRDefault="00000000" w:rsidP="00851A2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971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1A26">
              <w:t>Yes</w:t>
            </w:r>
          </w:p>
          <w:p w14:paraId="101F4D45" w14:textId="6A662E45" w:rsidR="00851A26" w:rsidRPr="00F76949" w:rsidRDefault="00000000" w:rsidP="00851A2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9464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1A26">
              <w:t>No</w:t>
            </w:r>
          </w:p>
        </w:tc>
      </w:tr>
      <w:tr w:rsidR="00851A26" w14:paraId="45054307" w14:textId="77777777" w:rsidTr="59782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7A3864" w:themeColor="accent2"/>
            </w:tcBorders>
          </w:tcPr>
          <w:p w14:paraId="032135F2" w14:textId="77777777" w:rsidR="00851A26" w:rsidRPr="00F7315E" w:rsidRDefault="00851A26" w:rsidP="00851A26">
            <w:pPr>
              <w:pStyle w:val="BodyText"/>
            </w:pPr>
          </w:p>
        </w:tc>
        <w:tc>
          <w:tcPr>
            <w:tcW w:w="6266" w:type="dxa"/>
            <w:tcBorders>
              <w:left w:val="single" w:sz="4" w:space="0" w:color="7A3864" w:themeColor="accent2"/>
            </w:tcBorders>
          </w:tcPr>
          <w:p w14:paraId="3C77536B" w14:textId="109D6F95" w:rsidR="00FA26DF" w:rsidRDefault="4646038A" w:rsidP="00FA26D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Please </w:t>
            </w:r>
            <w:r w:rsidR="2D09D347">
              <w:t>provide any comments about the experience of this process</w:t>
            </w:r>
            <w:r>
              <w:t>:</w:t>
            </w:r>
          </w:p>
          <w:p w14:paraId="10912284" w14:textId="77777777" w:rsidR="00851A26" w:rsidRDefault="00851A26" w:rsidP="00851A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E5EA69" w14:textId="77777777" w:rsidR="00851A26" w:rsidRDefault="00851A26" w:rsidP="00851A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1F3A1D" w14:textId="77777777" w:rsidR="00851A26" w:rsidRDefault="00851A26" w:rsidP="00851A2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29CBD3C5" w14:textId="6BF12080" w:rsidR="00F4613D" w:rsidRPr="004365EB" w:rsidRDefault="00F4613D" w:rsidP="2EB7DBDA">
      <w:pPr>
        <w:tabs>
          <w:tab w:val="left" w:pos="2820"/>
        </w:tabs>
        <w:rPr>
          <w:rFonts w:cs="Poppins"/>
          <w:sz w:val="24"/>
          <w:szCs w:val="24"/>
        </w:rPr>
      </w:pPr>
    </w:p>
    <w:p w14:paraId="465A2117" w14:textId="110565B9" w:rsidR="2EB7DBDA" w:rsidRDefault="2EB7DBDA" w:rsidP="2EB7DBDA">
      <w:pPr>
        <w:tabs>
          <w:tab w:val="left" w:pos="2820"/>
        </w:tabs>
        <w:rPr>
          <w:rFonts w:cs="Poppins"/>
          <w:sz w:val="24"/>
          <w:szCs w:val="24"/>
        </w:rPr>
      </w:pPr>
    </w:p>
    <w:sectPr w:rsidR="2EB7DBDA" w:rsidSect="00AE22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0F32" w14:textId="77777777" w:rsidR="004B26BD" w:rsidRDefault="004B26BD" w:rsidP="00A62BFF">
      <w:pPr>
        <w:spacing w:after="0"/>
      </w:pPr>
      <w:r>
        <w:separator/>
      </w:r>
    </w:p>
  </w:endnote>
  <w:endnote w:type="continuationSeparator" w:id="0">
    <w:p w14:paraId="56CD4609" w14:textId="77777777" w:rsidR="004B26BD" w:rsidRDefault="004B26BD" w:rsidP="00A62BFF">
      <w:pPr>
        <w:spacing w:after="0"/>
      </w:pPr>
      <w:r>
        <w:continuationSeparator/>
      </w:r>
    </w:p>
  </w:endnote>
  <w:endnote w:type="continuationNotice" w:id="1">
    <w:p w14:paraId="7B3AA318" w14:textId="77777777" w:rsidR="004B26BD" w:rsidRDefault="004B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96304"/>
      <w:docPartObj>
        <w:docPartGallery w:val="Page Numbers (Bottom of Page)"/>
        <w:docPartUnique/>
      </w:docPartObj>
    </w:sdtPr>
    <w:sdtContent>
      <w:p w14:paraId="01E5C774" w14:textId="77777777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7215CA5" w14:textId="77777777" w:rsidR="00B26D29" w:rsidRPr="00AE2241" w:rsidRDefault="00000000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4BB9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F9553EB" wp14:editId="6EC1276C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25E43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553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03125E43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42BC" w14:textId="77777777" w:rsidR="004B26BD" w:rsidRDefault="004B26BD" w:rsidP="00A62BFF">
      <w:pPr>
        <w:spacing w:after="0"/>
      </w:pPr>
      <w:r>
        <w:separator/>
      </w:r>
    </w:p>
  </w:footnote>
  <w:footnote w:type="continuationSeparator" w:id="0">
    <w:p w14:paraId="61D2DB82" w14:textId="77777777" w:rsidR="004B26BD" w:rsidRDefault="004B26BD" w:rsidP="00A62BFF">
      <w:pPr>
        <w:spacing w:after="0"/>
      </w:pPr>
      <w:r>
        <w:continuationSeparator/>
      </w:r>
    </w:p>
  </w:footnote>
  <w:footnote w:type="continuationNotice" w:id="1">
    <w:p w14:paraId="22F6A2D9" w14:textId="77777777" w:rsidR="004B26BD" w:rsidRDefault="004B26BD">
      <w:pPr>
        <w:spacing w:after="0" w:line="240" w:lineRule="auto"/>
      </w:pPr>
    </w:p>
  </w:footnote>
  <w:footnote w:id="2">
    <w:p w14:paraId="43A65352" w14:textId="11B86520" w:rsidR="655CCE87" w:rsidRDefault="655CCE87" w:rsidP="655CCE87">
      <w:pPr>
        <w:pStyle w:val="FootnoteText"/>
      </w:pPr>
      <w:r w:rsidRPr="655CCE87">
        <w:rPr>
          <w:rStyle w:val="FootnoteReference"/>
        </w:rPr>
        <w:footnoteRef/>
      </w:r>
      <w:r>
        <w:t xml:space="preserve"> Found at: </w:t>
      </w:r>
      <w:hyperlink r:id="rId1">
        <w:r w:rsidRPr="655CCE87">
          <w:rPr>
            <w:rStyle w:val="Hyperlink"/>
          </w:rPr>
          <w:t>https://www.neso.energy/what-we-do/energy-markets/interconnectors/what-ntc</w:t>
        </w:r>
      </w:hyperlink>
    </w:p>
  </w:footnote>
  <w:footnote w:id="3">
    <w:p w14:paraId="54F1A3AA" w14:textId="4F140E76" w:rsidR="00BA2A70" w:rsidRPr="00BA2A70" w:rsidRDefault="00BA2A70" w:rsidP="00BA2A70">
      <w:pPr>
        <w:pStyle w:val="BodyText"/>
        <w:rPr>
          <w:rFonts w:cs="Poppins"/>
          <w:highlight w:val="yellow"/>
        </w:rPr>
      </w:pPr>
      <w:r w:rsidRPr="005620C5">
        <w:rPr>
          <w:rStyle w:val="FootnoteReference"/>
        </w:rPr>
        <w:footnoteRef/>
      </w:r>
      <w:r w:rsidRPr="005620C5">
        <w:t xml:space="preserve"> </w:t>
      </w:r>
      <w:r w:rsidRPr="005620C5">
        <w:rPr>
          <w:rFonts w:cs="Poppins"/>
        </w:rPr>
        <w:t xml:space="preserve">For more information on NESO’s obligations under the FOIA and EIR please see the guidance for suppliers, contract partners, and other third parties working with NESO available on this page: </w:t>
      </w:r>
      <w:hyperlink r:id="rId2" w:history="1">
        <w:r w:rsidRPr="005620C5">
          <w:rPr>
            <w:rStyle w:val="Hyperlink"/>
            <w:rFonts w:cs="Poppins"/>
          </w:rPr>
          <w:t>Freedom of Information and Environmental Information Regulations | National Energy System Operator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4E5B" w14:textId="77777777" w:rsidR="00AE2241" w:rsidRDefault="00EB2BC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1" behindDoc="1" locked="1" layoutInCell="1" allowOverlap="0" wp14:anchorId="1E2CF709" wp14:editId="3E0DDD0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CCD838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508FB7AE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34867829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25BC9097" w14:textId="47F29E41" w:rsidR="008313D5" w:rsidRPr="004365EB" w:rsidRDefault="00E1429B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>
      <w:rPr>
        <w:rFonts w:eastAsia="HGPMinchoE" w:cs="Poppins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39BA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34E51755" wp14:editId="53BCDDC9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F6C3C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52582791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AF2C37D" w14:textId="77777777" w:rsidR="00B26D29" w:rsidRPr="004365EB" w:rsidRDefault="00607F76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1217353298">
    <w:abstractNumId w:val="12"/>
  </w:num>
  <w:num w:numId="14" w16cid:durableId="1042053295">
    <w:abstractNumId w:val="13"/>
  </w:num>
  <w:num w:numId="15" w16cid:durableId="401565751">
    <w:abstractNumId w:val="17"/>
  </w:num>
  <w:num w:numId="16" w16cid:durableId="1280262003">
    <w:abstractNumId w:val="15"/>
  </w:num>
  <w:num w:numId="17" w16cid:durableId="895353830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14"/>
  </w:num>
  <w:num w:numId="19" w16cid:durableId="178121894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90"/>
    <w:rsid w:val="0000092C"/>
    <w:rsid w:val="000014C6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48A6"/>
    <w:rsid w:val="00027845"/>
    <w:rsid w:val="00030017"/>
    <w:rsid w:val="00030548"/>
    <w:rsid w:val="00031305"/>
    <w:rsid w:val="0003395B"/>
    <w:rsid w:val="00034DE8"/>
    <w:rsid w:val="00035F61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1846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2E7A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0E2B"/>
    <w:rsid w:val="000D16EC"/>
    <w:rsid w:val="000D2220"/>
    <w:rsid w:val="000D3A7B"/>
    <w:rsid w:val="000D3E58"/>
    <w:rsid w:val="000D4C01"/>
    <w:rsid w:val="000D65A7"/>
    <w:rsid w:val="000E068A"/>
    <w:rsid w:val="000E1ECB"/>
    <w:rsid w:val="000E2F55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DB8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6F7A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3B5F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34B"/>
    <w:rsid w:val="0017346A"/>
    <w:rsid w:val="00173FC9"/>
    <w:rsid w:val="00174406"/>
    <w:rsid w:val="00174DCC"/>
    <w:rsid w:val="0017581D"/>
    <w:rsid w:val="00176FB8"/>
    <w:rsid w:val="00177CCF"/>
    <w:rsid w:val="00181B49"/>
    <w:rsid w:val="00182168"/>
    <w:rsid w:val="00182330"/>
    <w:rsid w:val="00182640"/>
    <w:rsid w:val="00183CB3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AEC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1F1F"/>
    <w:rsid w:val="001D26B9"/>
    <w:rsid w:val="001D2FA5"/>
    <w:rsid w:val="001D3612"/>
    <w:rsid w:val="001D682C"/>
    <w:rsid w:val="001D7057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6ACA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3F5E"/>
    <w:rsid w:val="0023612C"/>
    <w:rsid w:val="00236931"/>
    <w:rsid w:val="0024092B"/>
    <w:rsid w:val="0024129E"/>
    <w:rsid w:val="00241AA1"/>
    <w:rsid w:val="00241B4F"/>
    <w:rsid w:val="00245763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B6DFC"/>
    <w:rsid w:val="002C09E4"/>
    <w:rsid w:val="002C112B"/>
    <w:rsid w:val="002C1211"/>
    <w:rsid w:val="002C1261"/>
    <w:rsid w:val="002C2938"/>
    <w:rsid w:val="002C353A"/>
    <w:rsid w:val="002C3960"/>
    <w:rsid w:val="002C3C01"/>
    <w:rsid w:val="002C4AC0"/>
    <w:rsid w:val="002C4BAB"/>
    <w:rsid w:val="002C4D10"/>
    <w:rsid w:val="002C67B0"/>
    <w:rsid w:val="002C7A80"/>
    <w:rsid w:val="002D02A7"/>
    <w:rsid w:val="002D02FA"/>
    <w:rsid w:val="002D1473"/>
    <w:rsid w:val="002D2569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0DFD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0AA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6946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72F"/>
    <w:rsid w:val="00392DC9"/>
    <w:rsid w:val="00392E28"/>
    <w:rsid w:val="00393F35"/>
    <w:rsid w:val="0039426F"/>
    <w:rsid w:val="0039506D"/>
    <w:rsid w:val="00396BA9"/>
    <w:rsid w:val="00396FEA"/>
    <w:rsid w:val="00397020"/>
    <w:rsid w:val="00397B4F"/>
    <w:rsid w:val="003A1D19"/>
    <w:rsid w:val="003A458E"/>
    <w:rsid w:val="003A4C44"/>
    <w:rsid w:val="003A68D6"/>
    <w:rsid w:val="003A69ED"/>
    <w:rsid w:val="003B23D7"/>
    <w:rsid w:val="003B3803"/>
    <w:rsid w:val="003B5C8F"/>
    <w:rsid w:val="003B6831"/>
    <w:rsid w:val="003B6A3F"/>
    <w:rsid w:val="003B6D10"/>
    <w:rsid w:val="003B79DF"/>
    <w:rsid w:val="003C52C6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679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27E8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312"/>
    <w:rsid w:val="00493C98"/>
    <w:rsid w:val="00496719"/>
    <w:rsid w:val="00496763"/>
    <w:rsid w:val="004969EE"/>
    <w:rsid w:val="00497673"/>
    <w:rsid w:val="00497F0C"/>
    <w:rsid w:val="004A07FA"/>
    <w:rsid w:val="004A338B"/>
    <w:rsid w:val="004A3CB7"/>
    <w:rsid w:val="004A43DA"/>
    <w:rsid w:val="004A461F"/>
    <w:rsid w:val="004A4AB5"/>
    <w:rsid w:val="004B106E"/>
    <w:rsid w:val="004B1D4E"/>
    <w:rsid w:val="004B1F72"/>
    <w:rsid w:val="004B20C7"/>
    <w:rsid w:val="004B2654"/>
    <w:rsid w:val="004B26BD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498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6705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662B"/>
    <w:rsid w:val="00507AA9"/>
    <w:rsid w:val="0051127D"/>
    <w:rsid w:val="00513FAC"/>
    <w:rsid w:val="00514E24"/>
    <w:rsid w:val="00516216"/>
    <w:rsid w:val="0051635D"/>
    <w:rsid w:val="00517963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0A0B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20C5"/>
    <w:rsid w:val="00563A63"/>
    <w:rsid w:val="00563FC7"/>
    <w:rsid w:val="0056490B"/>
    <w:rsid w:val="00564A4C"/>
    <w:rsid w:val="00565D9B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3C6"/>
    <w:rsid w:val="00591F83"/>
    <w:rsid w:val="00592B69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195"/>
    <w:rsid w:val="005D5098"/>
    <w:rsid w:val="005D57C5"/>
    <w:rsid w:val="005E0309"/>
    <w:rsid w:val="005E29AC"/>
    <w:rsid w:val="005E2EF0"/>
    <w:rsid w:val="005E384E"/>
    <w:rsid w:val="005E40EB"/>
    <w:rsid w:val="005E4507"/>
    <w:rsid w:val="005E4DEE"/>
    <w:rsid w:val="005E4F25"/>
    <w:rsid w:val="005E6A6B"/>
    <w:rsid w:val="005E6BA2"/>
    <w:rsid w:val="005F0BF9"/>
    <w:rsid w:val="005F0D8B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B91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17991"/>
    <w:rsid w:val="0062036F"/>
    <w:rsid w:val="00620839"/>
    <w:rsid w:val="00621DC9"/>
    <w:rsid w:val="00622179"/>
    <w:rsid w:val="00624624"/>
    <w:rsid w:val="00624B10"/>
    <w:rsid w:val="0062521E"/>
    <w:rsid w:val="00625C5D"/>
    <w:rsid w:val="006264D8"/>
    <w:rsid w:val="00626D47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0E34"/>
    <w:rsid w:val="00642453"/>
    <w:rsid w:val="00643071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07A"/>
    <w:rsid w:val="006D4919"/>
    <w:rsid w:val="006D6073"/>
    <w:rsid w:val="006D6266"/>
    <w:rsid w:val="006E055E"/>
    <w:rsid w:val="006E0E6C"/>
    <w:rsid w:val="006E1030"/>
    <w:rsid w:val="006E4D92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6BE6"/>
    <w:rsid w:val="00717C5D"/>
    <w:rsid w:val="0072207E"/>
    <w:rsid w:val="00722224"/>
    <w:rsid w:val="007246A2"/>
    <w:rsid w:val="00725C76"/>
    <w:rsid w:val="007272AE"/>
    <w:rsid w:val="007304EE"/>
    <w:rsid w:val="00732965"/>
    <w:rsid w:val="007340C2"/>
    <w:rsid w:val="007341AD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5863"/>
    <w:rsid w:val="00786159"/>
    <w:rsid w:val="0078636B"/>
    <w:rsid w:val="00787652"/>
    <w:rsid w:val="00787FE9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4FE1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E7EB1"/>
    <w:rsid w:val="007F0038"/>
    <w:rsid w:val="007F090E"/>
    <w:rsid w:val="007F0CE3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4D58"/>
    <w:rsid w:val="008161CC"/>
    <w:rsid w:val="008162AF"/>
    <w:rsid w:val="00816643"/>
    <w:rsid w:val="00817104"/>
    <w:rsid w:val="00817F49"/>
    <w:rsid w:val="00821B58"/>
    <w:rsid w:val="0082256B"/>
    <w:rsid w:val="0082344F"/>
    <w:rsid w:val="00823582"/>
    <w:rsid w:val="00823F60"/>
    <w:rsid w:val="00824204"/>
    <w:rsid w:val="00824427"/>
    <w:rsid w:val="008254B5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9FE"/>
    <w:rsid w:val="00833EA4"/>
    <w:rsid w:val="00833FBE"/>
    <w:rsid w:val="0083530B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756"/>
    <w:rsid w:val="00846D9A"/>
    <w:rsid w:val="0085011D"/>
    <w:rsid w:val="008503F5"/>
    <w:rsid w:val="00850743"/>
    <w:rsid w:val="008519C5"/>
    <w:rsid w:val="00851A26"/>
    <w:rsid w:val="00851FCD"/>
    <w:rsid w:val="00852AA7"/>
    <w:rsid w:val="00854A1A"/>
    <w:rsid w:val="00854CD1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0E03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4A79"/>
    <w:rsid w:val="008964B9"/>
    <w:rsid w:val="008A0AAC"/>
    <w:rsid w:val="008A190E"/>
    <w:rsid w:val="008A19A2"/>
    <w:rsid w:val="008A1C18"/>
    <w:rsid w:val="008A2F69"/>
    <w:rsid w:val="008A3755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354"/>
    <w:rsid w:val="008E7DBA"/>
    <w:rsid w:val="008F0AD9"/>
    <w:rsid w:val="008F0B0A"/>
    <w:rsid w:val="008F2B43"/>
    <w:rsid w:val="008F2B74"/>
    <w:rsid w:val="008F3498"/>
    <w:rsid w:val="008F3878"/>
    <w:rsid w:val="008F4763"/>
    <w:rsid w:val="008F5879"/>
    <w:rsid w:val="008F766D"/>
    <w:rsid w:val="008F77DF"/>
    <w:rsid w:val="00900693"/>
    <w:rsid w:val="009013FF"/>
    <w:rsid w:val="009043DC"/>
    <w:rsid w:val="00905AFB"/>
    <w:rsid w:val="00906DCA"/>
    <w:rsid w:val="00907A53"/>
    <w:rsid w:val="00910067"/>
    <w:rsid w:val="0091036B"/>
    <w:rsid w:val="00910CE2"/>
    <w:rsid w:val="00911589"/>
    <w:rsid w:val="009120A3"/>
    <w:rsid w:val="00912347"/>
    <w:rsid w:val="00912E90"/>
    <w:rsid w:val="00916FA7"/>
    <w:rsid w:val="0091763D"/>
    <w:rsid w:val="00917FD0"/>
    <w:rsid w:val="009201C2"/>
    <w:rsid w:val="00922001"/>
    <w:rsid w:val="00924256"/>
    <w:rsid w:val="00924420"/>
    <w:rsid w:val="0092544F"/>
    <w:rsid w:val="0093023E"/>
    <w:rsid w:val="00931300"/>
    <w:rsid w:val="0093357F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16E"/>
    <w:rsid w:val="00955212"/>
    <w:rsid w:val="00960CC3"/>
    <w:rsid w:val="00961302"/>
    <w:rsid w:val="00961C27"/>
    <w:rsid w:val="00961FD5"/>
    <w:rsid w:val="00962A4A"/>
    <w:rsid w:val="00962E0D"/>
    <w:rsid w:val="00964581"/>
    <w:rsid w:val="0096653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5EF2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A1B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10E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5BDE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287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83C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125D"/>
    <w:rsid w:val="00A938C7"/>
    <w:rsid w:val="00A95EB0"/>
    <w:rsid w:val="00A961D5"/>
    <w:rsid w:val="00A967FD"/>
    <w:rsid w:val="00A97281"/>
    <w:rsid w:val="00A97B33"/>
    <w:rsid w:val="00AA0280"/>
    <w:rsid w:val="00AA3395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3444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3C11"/>
    <w:rsid w:val="00B95292"/>
    <w:rsid w:val="00B96EBA"/>
    <w:rsid w:val="00B9781B"/>
    <w:rsid w:val="00BA0FA9"/>
    <w:rsid w:val="00BA2A70"/>
    <w:rsid w:val="00BA30ED"/>
    <w:rsid w:val="00BA35B8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58F8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06B"/>
    <w:rsid w:val="00BD13AB"/>
    <w:rsid w:val="00BD41E7"/>
    <w:rsid w:val="00BD48DD"/>
    <w:rsid w:val="00BD65FB"/>
    <w:rsid w:val="00BD6C40"/>
    <w:rsid w:val="00BE0163"/>
    <w:rsid w:val="00BE07E5"/>
    <w:rsid w:val="00BE0FFC"/>
    <w:rsid w:val="00BE1E7E"/>
    <w:rsid w:val="00BE355B"/>
    <w:rsid w:val="00BE4B48"/>
    <w:rsid w:val="00BE4EF2"/>
    <w:rsid w:val="00BE50E9"/>
    <w:rsid w:val="00BE7B24"/>
    <w:rsid w:val="00BF201A"/>
    <w:rsid w:val="00BF2099"/>
    <w:rsid w:val="00BF25FB"/>
    <w:rsid w:val="00BF4453"/>
    <w:rsid w:val="00BF51CF"/>
    <w:rsid w:val="00BF58E4"/>
    <w:rsid w:val="00BF5BDE"/>
    <w:rsid w:val="00BF5D7C"/>
    <w:rsid w:val="00BF6C0C"/>
    <w:rsid w:val="00BF732A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0C"/>
    <w:rsid w:val="00C12091"/>
    <w:rsid w:val="00C12A3F"/>
    <w:rsid w:val="00C12BAE"/>
    <w:rsid w:val="00C12C99"/>
    <w:rsid w:val="00C12CFA"/>
    <w:rsid w:val="00C13620"/>
    <w:rsid w:val="00C14777"/>
    <w:rsid w:val="00C14C21"/>
    <w:rsid w:val="00C17EB3"/>
    <w:rsid w:val="00C2181D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5CEE"/>
    <w:rsid w:val="00C26718"/>
    <w:rsid w:val="00C30026"/>
    <w:rsid w:val="00C30037"/>
    <w:rsid w:val="00C305E9"/>
    <w:rsid w:val="00C30988"/>
    <w:rsid w:val="00C3342A"/>
    <w:rsid w:val="00C3350E"/>
    <w:rsid w:val="00C33FD9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76B30"/>
    <w:rsid w:val="00C81C68"/>
    <w:rsid w:val="00C82041"/>
    <w:rsid w:val="00C82605"/>
    <w:rsid w:val="00C82966"/>
    <w:rsid w:val="00C83AFE"/>
    <w:rsid w:val="00C847C0"/>
    <w:rsid w:val="00C85CB1"/>
    <w:rsid w:val="00C90168"/>
    <w:rsid w:val="00C91224"/>
    <w:rsid w:val="00C93C2A"/>
    <w:rsid w:val="00C950D4"/>
    <w:rsid w:val="00C952D5"/>
    <w:rsid w:val="00CA01C4"/>
    <w:rsid w:val="00CA16A2"/>
    <w:rsid w:val="00CA207B"/>
    <w:rsid w:val="00CA24CB"/>
    <w:rsid w:val="00CA2B3C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2387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3F9B"/>
    <w:rsid w:val="00D05ADA"/>
    <w:rsid w:val="00D05F9D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0AD1"/>
    <w:rsid w:val="00D21013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0D3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6F45"/>
    <w:rsid w:val="00DA753F"/>
    <w:rsid w:val="00DA7625"/>
    <w:rsid w:val="00DA79A9"/>
    <w:rsid w:val="00DB304A"/>
    <w:rsid w:val="00DB4920"/>
    <w:rsid w:val="00DB4A0A"/>
    <w:rsid w:val="00DB7E60"/>
    <w:rsid w:val="00DC06E4"/>
    <w:rsid w:val="00DC0C7C"/>
    <w:rsid w:val="00DC2EC5"/>
    <w:rsid w:val="00DC373A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5F25"/>
    <w:rsid w:val="00DF6407"/>
    <w:rsid w:val="00DF6561"/>
    <w:rsid w:val="00DF6613"/>
    <w:rsid w:val="00DF669C"/>
    <w:rsid w:val="00DF7557"/>
    <w:rsid w:val="00E002D6"/>
    <w:rsid w:val="00E02A70"/>
    <w:rsid w:val="00E03154"/>
    <w:rsid w:val="00E039D5"/>
    <w:rsid w:val="00E050A1"/>
    <w:rsid w:val="00E051E7"/>
    <w:rsid w:val="00E052B7"/>
    <w:rsid w:val="00E053C2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29B"/>
    <w:rsid w:val="00E144AA"/>
    <w:rsid w:val="00E150E0"/>
    <w:rsid w:val="00E15874"/>
    <w:rsid w:val="00E15B0E"/>
    <w:rsid w:val="00E15F79"/>
    <w:rsid w:val="00E17603"/>
    <w:rsid w:val="00E20324"/>
    <w:rsid w:val="00E20A1E"/>
    <w:rsid w:val="00E219D2"/>
    <w:rsid w:val="00E24628"/>
    <w:rsid w:val="00E24F63"/>
    <w:rsid w:val="00E25249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47F5D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EC0"/>
    <w:rsid w:val="00E65F49"/>
    <w:rsid w:val="00E66396"/>
    <w:rsid w:val="00E6655E"/>
    <w:rsid w:val="00E66D6D"/>
    <w:rsid w:val="00E70392"/>
    <w:rsid w:val="00E7159A"/>
    <w:rsid w:val="00E71846"/>
    <w:rsid w:val="00E71EF9"/>
    <w:rsid w:val="00E71FAD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096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42D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1D21"/>
    <w:rsid w:val="00ED3627"/>
    <w:rsid w:val="00ED47E6"/>
    <w:rsid w:val="00ED4D3D"/>
    <w:rsid w:val="00ED5D1C"/>
    <w:rsid w:val="00ED6B63"/>
    <w:rsid w:val="00ED7861"/>
    <w:rsid w:val="00EE0288"/>
    <w:rsid w:val="00EE1FA3"/>
    <w:rsid w:val="00EE2378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EF6DF7"/>
    <w:rsid w:val="00F00265"/>
    <w:rsid w:val="00F01861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0786D"/>
    <w:rsid w:val="00F10D1D"/>
    <w:rsid w:val="00F10FD5"/>
    <w:rsid w:val="00F13BA3"/>
    <w:rsid w:val="00F13CC8"/>
    <w:rsid w:val="00F141CD"/>
    <w:rsid w:val="00F14D25"/>
    <w:rsid w:val="00F1756E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6980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15E"/>
    <w:rsid w:val="00F7344F"/>
    <w:rsid w:val="00F75C23"/>
    <w:rsid w:val="00F761A6"/>
    <w:rsid w:val="00F768CC"/>
    <w:rsid w:val="00F76949"/>
    <w:rsid w:val="00F76A84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4C4F"/>
    <w:rsid w:val="00F96625"/>
    <w:rsid w:val="00F96670"/>
    <w:rsid w:val="00FA01FA"/>
    <w:rsid w:val="00FA03BD"/>
    <w:rsid w:val="00FA0820"/>
    <w:rsid w:val="00FA26DF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64E"/>
    <w:rsid w:val="00FB6CEF"/>
    <w:rsid w:val="00FC1876"/>
    <w:rsid w:val="00FC1B55"/>
    <w:rsid w:val="00FC1F13"/>
    <w:rsid w:val="00FC2A1B"/>
    <w:rsid w:val="00FC33FC"/>
    <w:rsid w:val="00FC41FE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6FF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1D09D2E"/>
    <w:rsid w:val="0294FDCA"/>
    <w:rsid w:val="02AAA166"/>
    <w:rsid w:val="037B02DC"/>
    <w:rsid w:val="0450EB6E"/>
    <w:rsid w:val="05293B03"/>
    <w:rsid w:val="05D4B19D"/>
    <w:rsid w:val="063988C1"/>
    <w:rsid w:val="0741C27B"/>
    <w:rsid w:val="07FCDF4E"/>
    <w:rsid w:val="08E101EA"/>
    <w:rsid w:val="09AABC97"/>
    <w:rsid w:val="0AE9C7CF"/>
    <w:rsid w:val="0CF26170"/>
    <w:rsid w:val="0DEC5803"/>
    <w:rsid w:val="0E54F523"/>
    <w:rsid w:val="10456B1E"/>
    <w:rsid w:val="10589415"/>
    <w:rsid w:val="13AD9450"/>
    <w:rsid w:val="13EF1AA5"/>
    <w:rsid w:val="1444E5A3"/>
    <w:rsid w:val="166BE5D6"/>
    <w:rsid w:val="16E244F7"/>
    <w:rsid w:val="1833BF5F"/>
    <w:rsid w:val="1AAE6EE8"/>
    <w:rsid w:val="1D0C9247"/>
    <w:rsid w:val="1D37227A"/>
    <w:rsid w:val="1D84F2AF"/>
    <w:rsid w:val="1DECB5B3"/>
    <w:rsid w:val="1E937A9F"/>
    <w:rsid w:val="201EF691"/>
    <w:rsid w:val="22069C96"/>
    <w:rsid w:val="22125B4D"/>
    <w:rsid w:val="221C122A"/>
    <w:rsid w:val="22FDBEC7"/>
    <w:rsid w:val="24D0806F"/>
    <w:rsid w:val="255E9F73"/>
    <w:rsid w:val="266A140B"/>
    <w:rsid w:val="26B6EEBD"/>
    <w:rsid w:val="26F63F79"/>
    <w:rsid w:val="2811BFF0"/>
    <w:rsid w:val="286B097E"/>
    <w:rsid w:val="28F0973F"/>
    <w:rsid w:val="28FBFBFA"/>
    <w:rsid w:val="295BF775"/>
    <w:rsid w:val="2C9B2C3A"/>
    <w:rsid w:val="2D09D347"/>
    <w:rsid w:val="2DCB8B32"/>
    <w:rsid w:val="2E0223F8"/>
    <w:rsid w:val="2EB7DBDA"/>
    <w:rsid w:val="2FA3E642"/>
    <w:rsid w:val="30463E31"/>
    <w:rsid w:val="31C707F2"/>
    <w:rsid w:val="32A15FB7"/>
    <w:rsid w:val="33497A31"/>
    <w:rsid w:val="341C3521"/>
    <w:rsid w:val="35348D9D"/>
    <w:rsid w:val="353F43B8"/>
    <w:rsid w:val="3558474C"/>
    <w:rsid w:val="356613D0"/>
    <w:rsid w:val="35AC093F"/>
    <w:rsid w:val="35BA6F87"/>
    <w:rsid w:val="364D62A0"/>
    <w:rsid w:val="365D703C"/>
    <w:rsid w:val="378641FE"/>
    <w:rsid w:val="389BA656"/>
    <w:rsid w:val="38A4F1A2"/>
    <w:rsid w:val="391561FD"/>
    <w:rsid w:val="3A2AAE23"/>
    <w:rsid w:val="3AD1BD3B"/>
    <w:rsid w:val="3AEF852B"/>
    <w:rsid w:val="3B9BF93D"/>
    <w:rsid w:val="3C60FA5A"/>
    <w:rsid w:val="3C70AA6B"/>
    <w:rsid w:val="3CC56807"/>
    <w:rsid w:val="3E404B8B"/>
    <w:rsid w:val="3EF6A4DE"/>
    <w:rsid w:val="3FD44BA9"/>
    <w:rsid w:val="40B0E743"/>
    <w:rsid w:val="40D0B528"/>
    <w:rsid w:val="43FC71FA"/>
    <w:rsid w:val="45F483BC"/>
    <w:rsid w:val="461EC652"/>
    <w:rsid w:val="4646038A"/>
    <w:rsid w:val="46EAFE08"/>
    <w:rsid w:val="4711A8A8"/>
    <w:rsid w:val="47178737"/>
    <w:rsid w:val="4767008D"/>
    <w:rsid w:val="478DF99D"/>
    <w:rsid w:val="479737B0"/>
    <w:rsid w:val="47CF52FB"/>
    <w:rsid w:val="47DF0242"/>
    <w:rsid w:val="493AF38A"/>
    <w:rsid w:val="4AC5836C"/>
    <w:rsid w:val="4ACFC8A0"/>
    <w:rsid w:val="4B30F9CB"/>
    <w:rsid w:val="4C96EBCA"/>
    <w:rsid w:val="4CA8D8D5"/>
    <w:rsid w:val="4EB055F7"/>
    <w:rsid w:val="4F4EBFCB"/>
    <w:rsid w:val="50723C0F"/>
    <w:rsid w:val="50953DE8"/>
    <w:rsid w:val="5160448B"/>
    <w:rsid w:val="51D63B0A"/>
    <w:rsid w:val="52496122"/>
    <w:rsid w:val="526BCEFD"/>
    <w:rsid w:val="533F5BC4"/>
    <w:rsid w:val="54820385"/>
    <w:rsid w:val="55CE91D1"/>
    <w:rsid w:val="58336AFF"/>
    <w:rsid w:val="58596C29"/>
    <w:rsid w:val="586206A3"/>
    <w:rsid w:val="58B0BACA"/>
    <w:rsid w:val="597828E5"/>
    <w:rsid w:val="5DE0B2B3"/>
    <w:rsid w:val="5F884574"/>
    <w:rsid w:val="5F8D2933"/>
    <w:rsid w:val="6171675F"/>
    <w:rsid w:val="61AC5497"/>
    <w:rsid w:val="61BE2417"/>
    <w:rsid w:val="62254E91"/>
    <w:rsid w:val="63058F86"/>
    <w:rsid w:val="6499F7A2"/>
    <w:rsid w:val="655CCE87"/>
    <w:rsid w:val="6639A0A0"/>
    <w:rsid w:val="66A836B7"/>
    <w:rsid w:val="67CC4E3D"/>
    <w:rsid w:val="6870622D"/>
    <w:rsid w:val="68B9D51A"/>
    <w:rsid w:val="69A0CFA2"/>
    <w:rsid w:val="6A410E2F"/>
    <w:rsid w:val="6B76F9FF"/>
    <w:rsid w:val="6B8EDA64"/>
    <w:rsid w:val="6B9147B5"/>
    <w:rsid w:val="6DD335A1"/>
    <w:rsid w:val="6E30724B"/>
    <w:rsid w:val="7122E5D5"/>
    <w:rsid w:val="71B3442B"/>
    <w:rsid w:val="71F179BE"/>
    <w:rsid w:val="72B977FC"/>
    <w:rsid w:val="744B46FA"/>
    <w:rsid w:val="77142BCF"/>
    <w:rsid w:val="77E32E9A"/>
    <w:rsid w:val="786685B1"/>
    <w:rsid w:val="787FD2D5"/>
    <w:rsid w:val="78BD1189"/>
    <w:rsid w:val="79934D19"/>
    <w:rsid w:val="7CC30262"/>
    <w:rsid w:val="7F42F6F3"/>
    <w:rsid w:val="7FB2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CC149A"/>
  <w15:docId w15:val="{F2A1EFE6-B500-4B6A-83A7-5AF0931A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10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2C4D10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2C4D10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2C4D10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2C4D10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2C4D10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2C4D10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2C4D10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2C4D10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2C4D10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2C4D1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C4D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4D10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2C4D1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2C4D10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2C4D10"/>
    <w:pPr>
      <w:jc w:val="right"/>
    </w:pPr>
  </w:style>
  <w:style w:type="character" w:customStyle="1" w:styleId="Bold">
    <w:name w:val="Bold"/>
    <w:basedOn w:val="DefaultParagraphFont"/>
    <w:uiPriority w:val="2"/>
    <w:qFormat/>
    <w:rsid w:val="002C4D10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2C4D1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C4D1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D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10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D10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2C4D10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2C4D10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2C4D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2C4D10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2C4D1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2C4D1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2C4D1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2C4D1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2C4D1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2C4D1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2C4D1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2C4D1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2C4D1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2C4D1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2C4D1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C4D1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C4D1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C4D1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C4D1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D10"/>
  </w:style>
  <w:style w:type="character" w:customStyle="1" w:styleId="CommentTextChar">
    <w:name w:val="Comment Text Char"/>
    <w:basedOn w:val="DefaultParagraphFont"/>
    <w:link w:val="CommentText"/>
    <w:uiPriority w:val="99"/>
    <w:rsid w:val="002C4D10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D10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2C4D10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2C4D1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2C4D10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2C4D10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2C4D10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2C4D10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2C4D10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2C4D10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2C4D10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2C4D10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2C4D10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2C4D1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2C4D1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2C4D1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2C4D10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2C4D1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2C4D1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2C4D10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2C4D10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2C4D10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2C4D1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2C4D1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2C4D10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2C4D10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2C4D10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2C4D10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2C4D10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2C4D10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2C4D10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2C4D1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2C4D10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2C4D10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2C4D10"/>
    <w:rPr>
      <w:b/>
      <w:i/>
    </w:rPr>
  </w:style>
  <w:style w:type="paragraph" w:styleId="NoSpacing">
    <w:name w:val="No Spacing"/>
    <w:next w:val="BodyText"/>
    <w:rsid w:val="002C4D1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2C4D10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2C4D10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2C4D1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2C4D1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2C4D10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2C4D1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C4D10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2C4D10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2C4D10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2C4D10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2C4D1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2C4D10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C4D10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2C4D10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2C4D10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2C4D1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2C4D1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2C4D10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2C4D10"/>
  </w:style>
  <w:style w:type="paragraph" w:customStyle="1" w:styleId="SourceNotes">
    <w:name w:val="Source &amp; Notes"/>
    <w:basedOn w:val="BodyText"/>
    <w:uiPriority w:val="99"/>
    <w:qFormat/>
    <w:rsid w:val="002C4D1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4D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4D10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2C4D1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2C4D10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2C4D10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C4D10"/>
  </w:style>
  <w:style w:type="paragraph" w:customStyle="1" w:styleId="Shadedheading0">
    <w:name w:val="Shaded heading"/>
    <w:basedOn w:val="SectionHeader"/>
    <w:uiPriority w:val="99"/>
    <w:qFormat/>
    <w:rsid w:val="002C4D1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2C4D1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2C4D10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2C4D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2C4D10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2C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2C4D10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2C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2C4D10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2C4D10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2C4D10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2C4D10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2C4D10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2C4D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2C4D1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2C4D10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2C4D10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4B106E"/>
    <w:pPr>
      <w:spacing w:after="0"/>
    </w:pPr>
    <w:tblPr>
      <w:tblStyleRowBandSize w:val="1"/>
      <w:tblStyleColBandSize w:val="1"/>
      <w:tblBorders>
        <w:top w:val="single" w:sz="4" w:space="0" w:color="7A3864" w:themeColor="accent2"/>
        <w:left w:val="single" w:sz="4" w:space="0" w:color="7A3864" w:themeColor="accent2"/>
        <w:bottom w:val="single" w:sz="4" w:space="0" w:color="7A3864" w:themeColor="accent2"/>
        <w:right w:val="single" w:sz="4" w:space="0" w:color="7A386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3864" w:themeColor="accent2"/>
          <w:right w:val="single" w:sz="4" w:space="0" w:color="7A3864" w:themeColor="accent2"/>
        </w:tcBorders>
      </w:tcPr>
    </w:tblStylePr>
    <w:tblStylePr w:type="band1Horz">
      <w:tblPr/>
      <w:tcPr>
        <w:tcBorders>
          <w:top w:val="single" w:sz="4" w:space="0" w:color="7A3864" w:themeColor="accent2"/>
          <w:bottom w:val="single" w:sz="4" w:space="0" w:color="7A386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3864" w:themeColor="accent2"/>
          <w:left w:val="nil"/>
        </w:tcBorders>
      </w:tcPr>
    </w:tblStylePr>
    <w:tblStylePr w:type="swCell">
      <w:tblPr/>
      <w:tcPr>
        <w:tcBorders>
          <w:top w:val="double" w:sz="4" w:space="0" w:color="7A3864" w:themeColor="accent2"/>
          <w:right w:val="nil"/>
        </w:tcBorders>
      </w:tcPr>
    </w:tblStylePr>
  </w:style>
  <w:style w:type="paragraph" w:styleId="FootnoteText">
    <w:name w:val="footnote text"/>
    <w:basedOn w:val="Normal"/>
    <w:uiPriority w:val="99"/>
    <w:semiHidden/>
    <w:unhideWhenUsed/>
    <w:rsid w:val="655CCE87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x.EFT@neso.energ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EFT@neso.energ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o.energy/document/362376/downloa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so.energy/document/362376/download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eso.energy/corporate-information/freedom-information-and-environmental-information-regulations" TargetMode="External"/><Relationship Id="rId1" Type="http://schemas.openxmlformats.org/officeDocument/2006/relationships/hyperlink" Target="https://www.neso.energy/what-we-do/energy-markets/interconnectors/what-nt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na.byrne\OneDrive%20-%20National%20Energy%20System%20Operator\Documents\Templates\738261_NESO%20Word%20Template%20-%20Blank_S2_Oct_24%20(1)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bc48a-dc9e-45bc-8496-b347132bae57" xsi:nil="true"/>
    <SharedWithUsers xmlns="2e3132a0-aaf2-4326-8928-c084593c093d">
      <UserInfo>
        <DisplayName/>
        <AccountId xsi:nil="true"/>
        <AccountType/>
      </UserInfo>
    </SharedWithUsers>
    <lcf76f155ced4ddcb4097134ff3c332f xmlns="479823c3-9fea-4af8-807a-841b6bab88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6A30936D8C540B8948F00B5A131CA" ma:contentTypeVersion="6" ma:contentTypeDescription="Create a new document." ma:contentTypeScope="" ma:versionID="abad1d3dc0e487cbf73a44a3e440ca85">
  <xsd:schema xmlns:xsd="http://www.w3.org/2001/XMLSchema" xmlns:xs="http://www.w3.org/2001/XMLSchema" xmlns:p="http://schemas.microsoft.com/office/2006/metadata/properties" xmlns:ns2="f720e2e4-ee26-4b30-bffa-48f18b4014cf" xmlns:ns3="2e3132a0-aaf2-4326-8928-c084593c093d" xmlns:ns4="479823c3-9fea-4af8-807a-841b6bab88a7" xmlns:ns5="35ebc48a-dc9e-45bc-8496-b347132bae57" targetNamespace="http://schemas.microsoft.com/office/2006/metadata/properties" ma:root="true" ma:fieldsID="2daa4ab0964f658eaf236e2597591b0f" ns2:_="" ns3:_="" ns4:_="" ns5:_="">
    <xsd:import namespace="f720e2e4-ee26-4b30-bffa-48f18b4014cf"/>
    <xsd:import namespace="2e3132a0-aaf2-4326-8928-c084593c093d"/>
    <xsd:import namespace="479823c3-9fea-4af8-807a-841b6bab88a7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e2e4-ee26-4b30-bffa-48f18b40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32a0-aaf2-4326-8928-c084593c0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823c3-9fea-4af8-807a-841b6bab88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8d538d1-1f4a-4c59-9947-dc698ca978ed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35ebc48a-dc9e-45bc-8496-b347132bae57"/>
    <ds:schemaRef ds:uri="2e3132a0-aaf2-4326-8928-c084593c093d"/>
    <ds:schemaRef ds:uri="479823c3-9fea-4af8-807a-841b6bab88a7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F5FC5-CE4B-455C-B0B5-DF75502D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e2e4-ee26-4b30-bffa-48f18b4014cf"/>
    <ds:schemaRef ds:uri="2e3132a0-aaf2-4326-8928-c084593c093d"/>
    <ds:schemaRef ds:uri="479823c3-9fea-4af8-807a-841b6bab88a7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 (1)</Template>
  <TotalTime>1</TotalTime>
  <Pages>4</Pages>
  <Words>667</Words>
  <Characters>3803</Characters>
  <Application>Microsoft Office Word</Application>
  <DocSecurity>0</DocSecurity>
  <Lines>31</Lines>
  <Paragraphs>8</Paragraphs>
  <ScaleCrop>false</ScaleCrop>
  <Company>Hamilton-Brown</Company>
  <LinksUpToDate>false</LinksUpToDate>
  <CharactersWithSpaces>4462</CharactersWithSpaces>
  <SharedDoc>false</SharedDoc>
  <HLinks>
    <vt:vector size="36" baseType="variant"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https://www.neso.energy/document/362376/download</vt:lpwstr>
      </vt:variant>
      <vt:variant>
        <vt:lpwstr/>
      </vt:variant>
      <vt:variant>
        <vt:i4>4128832</vt:i4>
      </vt:variant>
      <vt:variant>
        <vt:i4>6</vt:i4>
      </vt:variant>
      <vt:variant>
        <vt:i4>0</vt:i4>
      </vt:variant>
      <vt:variant>
        <vt:i4>5</vt:i4>
      </vt:variant>
      <vt:variant>
        <vt:lpwstr>mailto:box.EFT@neso.energy</vt:lpwstr>
      </vt:variant>
      <vt:variant>
        <vt:lpwstr/>
      </vt:variant>
      <vt:variant>
        <vt:i4>4128832</vt:i4>
      </vt:variant>
      <vt:variant>
        <vt:i4>3</vt:i4>
      </vt:variant>
      <vt:variant>
        <vt:i4>0</vt:i4>
      </vt:variant>
      <vt:variant>
        <vt:i4>5</vt:i4>
      </vt:variant>
      <vt:variant>
        <vt:lpwstr>mailto:box.EFT@neso.energy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https://www.neso.energy/document/362376/download</vt:lpwstr>
      </vt:variant>
      <vt:variant>
        <vt:lpwstr/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https://www.neso.energy/corporate-information/freedom-information-and-environmental-information-regulations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https://www.neso.energy/what-we-do/energy-markets/interconnectors/what-ntc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Byrne</dc:creator>
  <cp:keywords/>
  <dc:description/>
  <cp:lastModifiedBy>Lizzie Timmins [NESO]</cp:lastModifiedBy>
  <cp:revision>2</cp:revision>
  <cp:lastPrinted>2025-08-20T11:53:00Z</cp:lastPrinted>
  <dcterms:created xsi:type="dcterms:W3CDTF">2025-08-20T13:54:00Z</dcterms:created>
  <dcterms:modified xsi:type="dcterms:W3CDTF">2025-08-20T13:54:00Z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0x010100B656A30936D8C540B8948F00B5A131CA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