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B877" w14:textId="77777777" w:rsidR="00811054" w:rsidRPr="00F05B8F" w:rsidRDefault="00811054" w:rsidP="00F05B8F">
      <w:pPr>
        <w:pStyle w:val="Checklist"/>
      </w:pPr>
      <w:r w:rsidRPr="00F05B8F">
        <w:t>Code Administrator Consultation Response Proforma</w:t>
      </w:r>
    </w:p>
    <w:p w14:paraId="04BCD3C8" w14:textId="382F2615" w:rsidR="00811054" w:rsidRPr="002E28BA" w:rsidRDefault="00811054" w:rsidP="00811054">
      <w:pPr>
        <w:rPr>
          <w:rFonts w:ascii="Poppins" w:hAnsi="Poppins" w:cs="Poppins"/>
          <w:b/>
          <w:color w:val="FF00FF" w:themeColor="accent1"/>
          <w:sz w:val="28"/>
        </w:rPr>
      </w:pPr>
      <w:bookmarkStart w:id="0" w:name="_Hlk31877162"/>
      <w:r w:rsidRPr="00BB3FC9">
        <w:rPr>
          <w:rFonts w:ascii="Poppins" w:hAnsi="Poppins" w:cs="Poppins"/>
          <w:b/>
          <w:color w:val="3F0731" w:themeColor="text2"/>
          <w:sz w:val="28"/>
        </w:rPr>
        <w:t>CMP</w:t>
      </w:r>
      <w:r w:rsidR="00BB3FC9" w:rsidRPr="00BB3FC9">
        <w:rPr>
          <w:rFonts w:ascii="Poppins" w:hAnsi="Poppins" w:cs="Poppins"/>
          <w:b/>
          <w:color w:val="3F0731" w:themeColor="text2"/>
          <w:sz w:val="28"/>
        </w:rPr>
        <w:t>443</w:t>
      </w:r>
      <w:r w:rsidRPr="00BB3FC9">
        <w:rPr>
          <w:rFonts w:ascii="Poppins" w:hAnsi="Poppins" w:cs="Poppins"/>
          <w:b/>
          <w:color w:val="3F0731" w:themeColor="text2"/>
          <w:sz w:val="28"/>
        </w:rPr>
        <w:t xml:space="preserve">: </w:t>
      </w:r>
      <w:r w:rsidR="00BB3FC9" w:rsidRPr="00BB3FC9">
        <w:rPr>
          <w:rFonts w:ascii="Poppins" w:hAnsi="Poppins" w:cs="Poppins"/>
          <w:bCs/>
          <w:color w:val="3F0731" w:themeColor="text2"/>
          <w:sz w:val="28"/>
        </w:rPr>
        <w:t>Removing references to “Fax” or “Faxsimile” within the CUSC</w:t>
      </w:r>
      <w:r w:rsidR="00BB3FC9" w:rsidRPr="00BB3FC9">
        <w:rPr>
          <w:rFonts w:ascii="Poppins" w:hAnsi="Poppins" w:cs="Poppins"/>
          <w:b/>
          <w:color w:val="3F0731" w:themeColor="text2"/>
          <w:sz w:val="28"/>
        </w:rPr>
        <w:t xml:space="preserve"> </w:t>
      </w:r>
    </w:p>
    <w:bookmarkEnd w:id="0"/>
    <w:p w14:paraId="5B155B73" w14:textId="77777777" w:rsidR="00811054" w:rsidRPr="00BB3FC9" w:rsidRDefault="00811054" w:rsidP="00811054">
      <w:pPr>
        <w:pStyle w:val="BodyText"/>
        <w:ind w:right="-97"/>
        <w:jc w:val="both"/>
        <w:rPr>
          <w:rFonts w:ascii="Poppins" w:hAnsi="Poppins" w:cs="Poppins"/>
          <w:spacing w:val="-3"/>
          <w:sz w:val="24"/>
        </w:rPr>
      </w:pPr>
      <w:r w:rsidRPr="00BB3FC9">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6F31D081" w:rsidR="00811054" w:rsidRPr="00BB3FC9" w:rsidRDefault="00811054" w:rsidP="00811054">
      <w:pPr>
        <w:pStyle w:val="BodyText"/>
        <w:ind w:right="-97"/>
        <w:jc w:val="both"/>
        <w:rPr>
          <w:rFonts w:ascii="Poppins" w:hAnsi="Poppins" w:cs="Poppins"/>
          <w:spacing w:val="-3"/>
          <w:sz w:val="24"/>
        </w:rPr>
      </w:pPr>
      <w:r w:rsidRPr="00BB3FC9">
        <w:rPr>
          <w:rFonts w:ascii="Poppins" w:hAnsi="Poppins" w:cs="Poppins"/>
          <w:spacing w:val="-3"/>
          <w:sz w:val="24"/>
        </w:rPr>
        <w:t xml:space="preserve">Please send your responses to </w:t>
      </w:r>
      <w:hyperlink r:id="rId11" w:history="1">
        <w:r w:rsidR="00BB3FC9" w:rsidRPr="00BB3FC9">
          <w:rPr>
            <w:rStyle w:val="Hyperlink"/>
            <w:rFonts w:ascii="Poppins" w:hAnsi="Poppins" w:cs="Poppins"/>
            <w:sz w:val="24"/>
          </w:rPr>
          <w:t>cusc.team@nationalenergyso.com</w:t>
        </w:r>
      </w:hyperlink>
      <w:r w:rsidRPr="00BB3FC9">
        <w:rPr>
          <w:rStyle w:val="Hyperlink"/>
          <w:rFonts w:ascii="Poppins" w:hAnsi="Poppins" w:cs="Poppins"/>
          <w:sz w:val="24"/>
        </w:rPr>
        <w:t xml:space="preserve"> </w:t>
      </w:r>
      <w:r w:rsidRPr="00BB3FC9">
        <w:rPr>
          <w:rFonts w:ascii="Poppins" w:hAnsi="Poppins" w:cs="Poppins"/>
          <w:spacing w:val="-3"/>
          <w:sz w:val="24"/>
        </w:rPr>
        <w:t xml:space="preserve">by </w:t>
      </w:r>
      <w:r w:rsidRPr="00BB3FC9">
        <w:rPr>
          <w:rFonts w:ascii="Poppins" w:hAnsi="Poppins" w:cs="Poppins"/>
          <w:b/>
          <w:spacing w:val="-3"/>
          <w:sz w:val="24"/>
        </w:rPr>
        <w:t>5pm</w:t>
      </w:r>
      <w:r w:rsidRPr="00BB3FC9">
        <w:rPr>
          <w:rFonts w:ascii="Poppins" w:hAnsi="Poppins" w:cs="Poppins"/>
          <w:spacing w:val="-3"/>
          <w:sz w:val="24"/>
        </w:rPr>
        <w:t xml:space="preserve"> on </w:t>
      </w:r>
      <w:r w:rsidR="00BB3FC9" w:rsidRPr="00BB3FC9">
        <w:rPr>
          <w:rFonts w:ascii="Poppins" w:hAnsi="Poppins" w:cs="Poppins"/>
          <w:b/>
          <w:bCs/>
          <w:spacing w:val="-3"/>
          <w:sz w:val="24"/>
        </w:rPr>
        <w:t>29 November 2024</w:t>
      </w:r>
      <w:r w:rsidRPr="00BB3FC9">
        <w:rPr>
          <w:rFonts w:ascii="Poppins" w:hAnsi="Poppins" w:cs="Poppins"/>
          <w:b/>
          <w:bCs/>
          <w:spacing w:val="-3"/>
          <w:sz w:val="24"/>
        </w:rPr>
        <w:t xml:space="preserve">.  </w:t>
      </w:r>
      <w:r w:rsidRPr="00BB3FC9">
        <w:rPr>
          <w:rFonts w:ascii="Poppins" w:hAnsi="Poppins" w:cs="Poppins"/>
          <w:spacing w:val="-3"/>
          <w:sz w:val="24"/>
        </w:rPr>
        <w:t>Please note that any responses received after the deadline or sent to a different email address may not receive due consideration.</w:t>
      </w:r>
    </w:p>
    <w:p w14:paraId="51A731C5" w14:textId="6F00E092" w:rsidR="00811054" w:rsidRPr="00F05B8F" w:rsidRDefault="00811054" w:rsidP="00811054">
      <w:pPr>
        <w:pStyle w:val="BodyText"/>
        <w:rPr>
          <w:rFonts w:ascii="Poppins" w:hAnsi="Poppins" w:cs="Poppins"/>
          <w:sz w:val="24"/>
          <w:szCs w:val="24"/>
        </w:rPr>
      </w:pPr>
      <w:r w:rsidRPr="002E28BA">
        <w:rPr>
          <w:rFonts w:ascii="Poppins" w:hAnsi="Poppins" w:cs="Poppins"/>
          <w:sz w:val="24"/>
          <w:szCs w:val="24"/>
        </w:rPr>
        <w:t xml:space="preserve">If you have any queries on the content of this consultation, please contact </w:t>
      </w:r>
      <w:r w:rsidR="00BB3FC9" w:rsidRPr="002E28BA">
        <w:rPr>
          <w:rFonts w:ascii="Poppins" w:hAnsi="Poppins" w:cs="Poppins"/>
          <w:sz w:val="24"/>
          <w:szCs w:val="24"/>
        </w:rPr>
        <w:t xml:space="preserve">Ren Walker </w:t>
      </w:r>
      <w:hyperlink r:id="rId12" w:history="1">
        <w:r w:rsidR="00BB3FC9" w:rsidRPr="002E28BA">
          <w:rPr>
            <w:rStyle w:val="Hyperlink"/>
            <w:rFonts w:ascii="Poppins" w:hAnsi="Poppins" w:cs="Poppins"/>
            <w:sz w:val="24"/>
            <w:szCs w:val="24"/>
          </w:rPr>
          <w:t>lurrentia.walker@nationalenergyso.com</w:t>
        </w:r>
      </w:hyperlink>
      <w:r w:rsidR="00BB3FC9" w:rsidRPr="002E28BA">
        <w:rPr>
          <w:rFonts w:ascii="Poppins" w:hAnsi="Poppins" w:cs="Poppins"/>
          <w:sz w:val="24"/>
          <w:szCs w:val="24"/>
        </w:rPr>
        <w:t xml:space="preserve"> </w:t>
      </w:r>
      <w:r w:rsidRPr="002E28BA">
        <w:rPr>
          <w:rFonts w:ascii="Poppins" w:hAnsi="Poppins" w:cs="Poppins"/>
          <w:sz w:val="24"/>
          <w:szCs w:val="24"/>
        </w:rPr>
        <w:t xml:space="preserve">or </w:t>
      </w:r>
      <w:hyperlink r:id="rId13" w:history="1">
        <w:r w:rsidR="00BB3FC9" w:rsidRPr="002E28BA">
          <w:rPr>
            <w:rStyle w:val="Hyperlink"/>
            <w:rFonts w:ascii="Poppins" w:hAnsi="Poppins" w:cs="Poppins"/>
            <w:sz w:val="24"/>
            <w:szCs w:val="24"/>
          </w:rPr>
          <w:t>cusc.team@nationalenergyso.com</w:t>
        </w:r>
      </w:hyperlink>
      <w:r w:rsidRPr="002E28BA">
        <w:rPr>
          <w:rStyle w:val="Hyperlink"/>
          <w:rFonts w:ascii="Poppins" w:hAnsi="Poppins" w:cs="Poppins"/>
          <w:sz w:val="24"/>
          <w:szCs w:val="24"/>
        </w:rPr>
        <w:t xml:space="preserve"> </w:t>
      </w:r>
    </w:p>
    <w:tbl>
      <w:tblPr>
        <w:tblpPr w:leftFromText="180" w:rightFromText="180" w:vertAnchor="text" w:horzAnchor="margin" w:tblpY="24"/>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3"/>
        <w:gridCol w:w="3202"/>
        <w:gridCol w:w="3204"/>
      </w:tblGrid>
      <w:tr w:rsidR="00811054" w:rsidRPr="00BB3FC9" w14:paraId="0B1D17B7" w14:textId="77777777" w:rsidTr="00F05B8F">
        <w:trPr>
          <w:trHeight w:val="284"/>
        </w:trPr>
        <w:tc>
          <w:tcPr>
            <w:tcW w:w="3383" w:type="dxa"/>
            <w:shd w:val="clear" w:color="auto" w:fill="650B4E" w:themeFill="text2" w:themeFillTint="E6"/>
          </w:tcPr>
          <w:p w14:paraId="162D3D6B" w14:textId="77777777" w:rsidR="00811054" w:rsidRPr="00BB3FC9" w:rsidRDefault="00811054" w:rsidP="00F05B8F">
            <w:pPr>
              <w:spacing w:after="0"/>
              <w:rPr>
                <w:rFonts w:ascii="Poppins" w:hAnsi="Poppins" w:cs="Poppins"/>
                <w:b/>
                <w:color w:val="FFFFFF" w:themeColor="background1"/>
                <w:sz w:val="24"/>
              </w:rPr>
            </w:pPr>
            <w:r w:rsidRPr="00BB3FC9">
              <w:rPr>
                <w:rFonts w:ascii="Poppins" w:hAnsi="Poppins" w:cs="Poppins"/>
                <w:b/>
                <w:color w:val="FFFFFF" w:themeColor="background1"/>
                <w:sz w:val="24"/>
              </w:rPr>
              <w:t>Respondent details</w:t>
            </w:r>
          </w:p>
        </w:tc>
        <w:tc>
          <w:tcPr>
            <w:tcW w:w="6406" w:type="dxa"/>
            <w:gridSpan w:val="2"/>
            <w:shd w:val="clear" w:color="auto" w:fill="650B4E" w:themeFill="text2" w:themeFillTint="E6"/>
          </w:tcPr>
          <w:p w14:paraId="6099E618" w14:textId="77777777" w:rsidR="00811054" w:rsidRPr="00BB3FC9" w:rsidRDefault="00811054" w:rsidP="00F05B8F">
            <w:pPr>
              <w:spacing w:after="0"/>
              <w:rPr>
                <w:rFonts w:ascii="Poppins" w:hAnsi="Poppins" w:cs="Poppins"/>
                <w:b/>
                <w:color w:val="FFFFFF" w:themeColor="background1"/>
                <w:sz w:val="24"/>
              </w:rPr>
            </w:pPr>
            <w:r w:rsidRPr="00BB3FC9">
              <w:rPr>
                <w:rFonts w:ascii="Poppins" w:hAnsi="Poppins" w:cs="Poppins"/>
                <w:b/>
                <w:color w:val="FFFFFF" w:themeColor="background1"/>
                <w:sz w:val="24"/>
              </w:rPr>
              <w:t>Please enter your details</w:t>
            </w:r>
          </w:p>
        </w:tc>
      </w:tr>
      <w:tr w:rsidR="00811054" w:rsidRPr="00BB3FC9" w14:paraId="5B27C532" w14:textId="77777777" w:rsidTr="00F05B8F">
        <w:trPr>
          <w:trHeight w:val="233"/>
        </w:trPr>
        <w:tc>
          <w:tcPr>
            <w:tcW w:w="3383" w:type="dxa"/>
          </w:tcPr>
          <w:p w14:paraId="762377A8" w14:textId="77777777" w:rsidR="00811054" w:rsidRPr="00BB3FC9" w:rsidRDefault="00811054" w:rsidP="00F05B8F">
            <w:pPr>
              <w:spacing w:after="0"/>
              <w:rPr>
                <w:rFonts w:ascii="Poppins" w:hAnsi="Poppins" w:cs="Poppins"/>
                <w:b/>
                <w:sz w:val="24"/>
              </w:rPr>
            </w:pPr>
            <w:r w:rsidRPr="00BB3FC9">
              <w:rPr>
                <w:rFonts w:ascii="Poppins" w:hAnsi="Poppins" w:cs="Poppins"/>
                <w:b/>
                <w:sz w:val="24"/>
              </w:rPr>
              <w:t>Respondent name:</w:t>
            </w:r>
          </w:p>
        </w:tc>
        <w:sdt>
          <w:sdtPr>
            <w:rPr>
              <w:rFonts w:ascii="Poppins" w:hAnsi="Poppins" w:cs="Poppins"/>
              <w:sz w:val="24"/>
            </w:rPr>
            <w:id w:val="-539664489"/>
            <w:placeholder>
              <w:docPart w:val="73E527ECEE2A48B2BA25974E6EB67C2F"/>
            </w:placeholder>
            <w:showingPlcHdr/>
          </w:sdtPr>
          <w:sdtEndPr/>
          <w:sdtContent>
            <w:tc>
              <w:tcPr>
                <w:tcW w:w="6406" w:type="dxa"/>
                <w:gridSpan w:val="2"/>
              </w:tcPr>
              <w:p w14:paraId="49B2605E"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270BD658" w14:textId="77777777" w:rsidTr="00F05B8F">
        <w:trPr>
          <w:trHeight w:val="233"/>
        </w:trPr>
        <w:tc>
          <w:tcPr>
            <w:tcW w:w="3383" w:type="dxa"/>
          </w:tcPr>
          <w:p w14:paraId="1FC50135" w14:textId="77777777" w:rsidR="00811054" w:rsidRPr="00BB3FC9" w:rsidRDefault="00811054" w:rsidP="00F05B8F">
            <w:pPr>
              <w:spacing w:after="0"/>
              <w:rPr>
                <w:rFonts w:ascii="Poppins" w:hAnsi="Poppins" w:cs="Poppins"/>
                <w:b/>
                <w:sz w:val="24"/>
              </w:rPr>
            </w:pPr>
            <w:r w:rsidRPr="00BB3FC9">
              <w:rPr>
                <w:rFonts w:ascii="Poppins" w:hAnsi="Poppins" w:cs="Poppins"/>
                <w:b/>
                <w:sz w:val="24"/>
              </w:rPr>
              <w:t>Company name:</w:t>
            </w:r>
          </w:p>
        </w:tc>
        <w:sdt>
          <w:sdtPr>
            <w:rPr>
              <w:rFonts w:ascii="Poppins" w:hAnsi="Poppins" w:cs="Poppins"/>
              <w:sz w:val="24"/>
            </w:rPr>
            <w:id w:val="-1333605531"/>
            <w:placeholder>
              <w:docPart w:val="BA26DC1F5ECA4F71BA38BE2F73310B62"/>
            </w:placeholder>
            <w:showingPlcHdr/>
          </w:sdtPr>
          <w:sdtEndPr/>
          <w:sdtContent>
            <w:tc>
              <w:tcPr>
                <w:tcW w:w="6406" w:type="dxa"/>
                <w:gridSpan w:val="2"/>
              </w:tcPr>
              <w:p w14:paraId="63CC1343"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5A78D1B6" w14:textId="77777777" w:rsidTr="00F05B8F">
        <w:trPr>
          <w:trHeight w:val="233"/>
        </w:trPr>
        <w:tc>
          <w:tcPr>
            <w:tcW w:w="3383" w:type="dxa"/>
          </w:tcPr>
          <w:p w14:paraId="0C2AC21E" w14:textId="77777777" w:rsidR="00811054" w:rsidRPr="00BB3FC9" w:rsidRDefault="00811054" w:rsidP="00F05B8F">
            <w:pPr>
              <w:spacing w:after="0"/>
              <w:rPr>
                <w:rFonts w:ascii="Poppins" w:hAnsi="Poppins" w:cs="Poppins"/>
                <w:b/>
                <w:sz w:val="24"/>
              </w:rPr>
            </w:pPr>
            <w:r w:rsidRPr="00BB3FC9">
              <w:rPr>
                <w:rFonts w:ascii="Poppins" w:hAnsi="Poppins" w:cs="Poppins"/>
                <w:b/>
                <w:sz w:val="24"/>
              </w:rPr>
              <w:t>Email address:</w:t>
            </w:r>
          </w:p>
        </w:tc>
        <w:sdt>
          <w:sdtPr>
            <w:rPr>
              <w:rFonts w:ascii="Poppins" w:hAnsi="Poppins" w:cs="Poppins"/>
              <w:sz w:val="24"/>
            </w:rPr>
            <w:id w:val="233060029"/>
            <w:placeholder>
              <w:docPart w:val="56765F3A391445028E46878546E30C73"/>
            </w:placeholder>
            <w:showingPlcHdr/>
          </w:sdtPr>
          <w:sdtEndPr/>
          <w:sdtContent>
            <w:tc>
              <w:tcPr>
                <w:tcW w:w="6406" w:type="dxa"/>
                <w:gridSpan w:val="2"/>
              </w:tcPr>
              <w:p w14:paraId="5F65ABB3"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6B0916C0" w14:textId="77777777" w:rsidTr="00F05B8F">
        <w:trPr>
          <w:trHeight w:val="233"/>
        </w:trPr>
        <w:tc>
          <w:tcPr>
            <w:tcW w:w="3383" w:type="dxa"/>
          </w:tcPr>
          <w:p w14:paraId="68120B3B" w14:textId="77777777" w:rsidR="00811054" w:rsidRPr="00BB3FC9" w:rsidRDefault="00811054" w:rsidP="00F05B8F">
            <w:pPr>
              <w:spacing w:after="0"/>
              <w:rPr>
                <w:rFonts w:ascii="Poppins" w:hAnsi="Poppins" w:cs="Poppins"/>
                <w:b/>
                <w:sz w:val="24"/>
              </w:rPr>
            </w:pPr>
            <w:r w:rsidRPr="00BB3FC9">
              <w:rPr>
                <w:rFonts w:ascii="Poppins" w:hAnsi="Poppins" w:cs="Poppins"/>
                <w:b/>
                <w:sz w:val="24"/>
              </w:rPr>
              <w:t>Phone number:</w:t>
            </w:r>
          </w:p>
        </w:tc>
        <w:sdt>
          <w:sdtPr>
            <w:rPr>
              <w:rFonts w:ascii="Poppins" w:hAnsi="Poppins" w:cs="Poppins"/>
              <w:sz w:val="24"/>
            </w:rPr>
            <w:id w:val="1902481430"/>
            <w:placeholder>
              <w:docPart w:val="56765F3A391445028E46878546E30C73"/>
            </w:placeholder>
            <w:showingPlcHdr/>
          </w:sdtPr>
          <w:sdtEndPr/>
          <w:sdtContent>
            <w:tc>
              <w:tcPr>
                <w:tcW w:w="6406" w:type="dxa"/>
                <w:gridSpan w:val="2"/>
              </w:tcPr>
              <w:p w14:paraId="1745C7A7"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0E0B31C9" w14:textId="77777777" w:rsidTr="00F05B8F">
        <w:trPr>
          <w:trHeight w:val="233"/>
        </w:trPr>
        <w:tc>
          <w:tcPr>
            <w:tcW w:w="3383" w:type="dxa"/>
          </w:tcPr>
          <w:p w14:paraId="56BAAFB8" w14:textId="77777777" w:rsidR="00811054" w:rsidRPr="00BB3FC9" w:rsidRDefault="00811054" w:rsidP="00F05B8F">
            <w:pPr>
              <w:spacing w:after="0"/>
              <w:rPr>
                <w:rFonts w:ascii="Poppins" w:hAnsi="Poppins" w:cs="Poppins"/>
                <w:b/>
                <w:sz w:val="24"/>
              </w:rPr>
            </w:pPr>
            <w:r w:rsidRPr="00BB3FC9">
              <w:rPr>
                <w:rFonts w:ascii="Poppins" w:hAnsi="Poppins" w:cs="Poppins"/>
                <w:b/>
                <w:sz w:val="24"/>
              </w:rPr>
              <w:t>Which best describes your organisation?</w:t>
            </w:r>
          </w:p>
        </w:tc>
        <w:tc>
          <w:tcPr>
            <w:tcW w:w="3202" w:type="dxa"/>
          </w:tcPr>
          <w:p w14:paraId="52F41C4E" w14:textId="77777777" w:rsidR="00811054" w:rsidRPr="00BB3FC9" w:rsidRDefault="00A328D8" w:rsidP="00F05B8F">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Consumer body</w:t>
            </w:r>
          </w:p>
          <w:p w14:paraId="79EEBCD7" w14:textId="77777777" w:rsidR="00811054" w:rsidRPr="00BB3FC9" w:rsidRDefault="00A328D8" w:rsidP="00F05B8F">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Demand</w:t>
            </w:r>
          </w:p>
          <w:p w14:paraId="56CF8282" w14:textId="77777777" w:rsidR="00811054" w:rsidRPr="00BB3FC9" w:rsidRDefault="00A328D8" w:rsidP="00F05B8F">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Distribution Network Operator</w:t>
            </w:r>
          </w:p>
          <w:p w14:paraId="71CE9F8C" w14:textId="77777777" w:rsidR="00811054" w:rsidRPr="00BB3FC9" w:rsidRDefault="00A328D8" w:rsidP="00F05B8F">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Generator</w:t>
            </w:r>
          </w:p>
          <w:p w14:paraId="1ECBB466" w14:textId="77777777" w:rsidR="00811054" w:rsidRPr="00BB3FC9" w:rsidRDefault="00A328D8" w:rsidP="00F05B8F">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Industry body</w:t>
            </w:r>
          </w:p>
          <w:p w14:paraId="07D46E52" w14:textId="77777777" w:rsidR="00811054" w:rsidRPr="00BB3FC9" w:rsidRDefault="00A328D8" w:rsidP="00F05B8F">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Interconnector</w:t>
            </w:r>
          </w:p>
        </w:tc>
        <w:tc>
          <w:tcPr>
            <w:tcW w:w="3203" w:type="dxa"/>
          </w:tcPr>
          <w:p w14:paraId="7B98FB47" w14:textId="77777777" w:rsidR="00811054" w:rsidRPr="00BB3FC9" w:rsidRDefault="00A328D8" w:rsidP="00F05B8F">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Storage</w:t>
            </w:r>
          </w:p>
          <w:p w14:paraId="36ECDB8A" w14:textId="77777777" w:rsidR="00811054" w:rsidRPr="00BB3FC9" w:rsidRDefault="00A328D8" w:rsidP="00F05B8F">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Supplier</w:t>
            </w:r>
          </w:p>
          <w:p w14:paraId="37AF03A4" w14:textId="77777777" w:rsidR="00811054" w:rsidRPr="00BB3FC9" w:rsidRDefault="00A328D8" w:rsidP="00F05B8F">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System Operator</w:t>
            </w:r>
          </w:p>
          <w:p w14:paraId="502B817F" w14:textId="77777777" w:rsidR="00811054" w:rsidRPr="00BB3FC9" w:rsidRDefault="00A328D8" w:rsidP="00F05B8F">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Transmission Owner</w:t>
            </w:r>
          </w:p>
          <w:p w14:paraId="3013B397" w14:textId="77777777" w:rsidR="00811054" w:rsidRPr="00BB3FC9" w:rsidRDefault="00A328D8" w:rsidP="00F05B8F">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Virtual Lead Party</w:t>
            </w:r>
          </w:p>
          <w:p w14:paraId="7EDD6225" w14:textId="77777777" w:rsidR="00811054" w:rsidRPr="00BB3FC9" w:rsidRDefault="00A328D8" w:rsidP="00F05B8F">
            <w:pPr>
              <w:spacing w:after="0"/>
              <w:rPr>
                <w:rFonts w:ascii="Poppins" w:hAnsi="Poppins" w:cs="Poppins"/>
                <w:sz w:val="24"/>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Other</w:t>
            </w:r>
          </w:p>
        </w:tc>
      </w:tr>
    </w:tbl>
    <w:p w14:paraId="79884406" w14:textId="77777777" w:rsidR="00BB3FC9" w:rsidRPr="00BB3FC9" w:rsidRDefault="00BB3FC9" w:rsidP="00811054">
      <w:pPr>
        <w:rPr>
          <w:rFonts w:ascii="Poppins" w:hAnsi="Poppins" w:cs="Poppins"/>
          <w:b/>
        </w:rPr>
      </w:pPr>
    </w:p>
    <w:p w14:paraId="2F0CCE96" w14:textId="51064B6C" w:rsidR="00811054" w:rsidRPr="00BB3FC9" w:rsidRDefault="00811054" w:rsidP="00811054">
      <w:pPr>
        <w:rPr>
          <w:rFonts w:ascii="Poppins" w:hAnsi="Poppins" w:cs="Poppins"/>
          <w:b/>
          <w:sz w:val="24"/>
        </w:rPr>
      </w:pPr>
      <w:r w:rsidRPr="00BB3FC9">
        <w:rPr>
          <w:rFonts w:ascii="Poppins" w:hAnsi="Poppins" w:cs="Poppins"/>
          <w:b/>
          <w:sz w:val="24"/>
        </w:rPr>
        <w:t>I wish my response to be:</w:t>
      </w:r>
    </w:p>
    <w:tbl>
      <w:tblPr>
        <w:tblStyle w:val="PlainTable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229"/>
      </w:tblGrid>
      <w:tr w:rsidR="00811054" w:rsidRPr="00BB3FC9" w14:paraId="7206C15D" w14:textId="77777777" w:rsidTr="00F05B8F">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FF00FF" w:themeColor="accent1"/>
            </w:tcBorders>
            <w:hideMark/>
          </w:tcPr>
          <w:p w14:paraId="5FD028F8" w14:textId="4969CD9B" w:rsidR="00811054" w:rsidRPr="00F05B8F" w:rsidRDefault="00811054" w:rsidP="009F1ACE">
            <w:pPr>
              <w:spacing w:line="240" w:lineRule="auto"/>
              <w:rPr>
                <w:rFonts w:ascii="Poppins" w:hAnsi="Poppins" w:cs="Poppins"/>
                <w:b w:val="0"/>
                <w:bCs w:val="0"/>
              </w:rPr>
            </w:pPr>
            <w:r w:rsidRPr="00BB3FC9">
              <w:rPr>
                <w:rFonts w:ascii="Poppins" w:hAnsi="Poppins" w:cs="Poppins"/>
                <w:b w:val="0"/>
                <w:bCs w:val="0"/>
              </w:rPr>
              <w:t>(Please mark the relevant box)</w:t>
            </w:r>
          </w:p>
          <w:p w14:paraId="4FC0A149" w14:textId="77777777" w:rsidR="00811054" w:rsidRPr="00BB3FC9" w:rsidRDefault="00811054" w:rsidP="009F1ACE">
            <w:pPr>
              <w:spacing w:line="240" w:lineRule="auto"/>
              <w:rPr>
                <w:rFonts w:ascii="Poppins" w:hAnsi="Poppins" w:cs="Poppins"/>
              </w:rPr>
            </w:pPr>
          </w:p>
        </w:tc>
        <w:tc>
          <w:tcPr>
            <w:tcW w:w="7229" w:type="dxa"/>
            <w:tcBorders>
              <w:left w:val="single" w:sz="2" w:space="0" w:color="FF00FF" w:themeColor="accent1"/>
              <w:bottom w:val="single" w:sz="2" w:space="0" w:color="FF00FF" w:themeColor="accent1"/>
            </w:tcBorders>
            <w:hideMark/>
          </w:tcPr>
          <w:p w14:paraId="2BF85CA4" w14:textId="77777777" w:rsidR="00811054" w:rsidRPr="00BB3FC9" w:rsidRDefault="00A328D8" w:rsidP="009F1ACE">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 xml:space="preserve"> Non-Confidential </w:t>
            </w:r>
            <w:r w:rsidR="00811054" w:rsidRPr="00BB3FC9">
              <w:rPr>
                <w:rFonts w:ascii="Poppins" w:hAnsi="Poppins" w:cs="Poppins"/>
                <w:b w:val="0"/>
                <w:bCs w:val="0"/>
                <w:i/>
                <w:iCs/>
              </w:rPr>
              <w:t xml:space="preserve">(this </w:t>
            </w:r>
            <w:r w:rsidR="00811054" w:rsidRPr="00BB3FC9">
              <w:rPr>
                <w:rFonts w:ascii="Poppins" w:hAnsi="Poppins" w:cs="Poppins"/>
                <w:b w:val="0"/>
                <w:bCs w:val="0"/>
                <w:i/>
                <w:u w:val="single"/>
              </w:rPr>
              <w:t>will be shared</w:t>
            </w:r>
            <w:r w:rsidR="00811054" w:rsidRPr="00BB3FC9">
              <w:rPr>
                <w:rFonts w:ascii="Poppins" w:hAnsi="Poppins" w:cs="Poppins"/>
                <w:b w:val="0"/>
                <w:bCs w:val="0"/>
                <w:i/>
              </w:rPr>
              <w:t xml:space="preserve"> with industry and the Panel for further consideration)</w:t>
            </w:r>
          </w:p>
        </w:tc>
      </w:tr>
      <w:tr w:rsidR="00811054" w:rsidRPr="00BB3FC9" w14:paraId="7EAE6178" w14:textId="77777777" w:rsidTr="00F05B8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FF00FF" w:themeColor="accent1"/>
            </w:tcBorders>
            <w:shd w:val="clear" w:color="auto" w:fill="auto"/>
          </w:tcPr>
          <w:p w14:paraId="0834F90F" w14:textId="77777777" w:rsidR="00811054" w:rsidRPr="00BB3FC9" w:rsidRDefault="00811054" w:rsidP="009F1ACE">
            <w:pPr>
              <w:spacing w:line="240" w:lineRule="auto"/>
              <w:rPr>
                <w:rFonts w:ascii="Poppins" w:hAnsi="Poppins" w:cs="Poppins"/>
              </w:rPr>
            </w:pPr>
          </w:p>
        </w:tc>
        <w:tc>
          <w:tcPr>
            <w:tcW w:w="7229" w:type="dxa"/>
            <w:tcBorders>
              <w:top w:val="single" w:sz="2" w:space="0" w:color="FF00FF" w:themeColor="accent1"/>
              <w:left w:val="single" w:sz="2" w:space="0" w:color="FF00FF" w:themeColor="accent1"/>
            </w:tcBorders>
            <w:shd w:val="clear" w:color="auto" w:fill="auto"/>
          </w:tcPr>
          <w:p w14:paraId="73437A0E" w14:textId="77777777" w:rsidR="00811054" w:rsidRPr="00BB3FC9" w:rsidRDefault="00A328D8" w:rsidP="009F1ACE">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 xml:space="preserve"> </w:t>
            </w:r>
            <w:r w:rsidR="00811054" w:rsidRPr="00BB3FC9">
              <w:rPr>
                <w:rFonts w:ascii="Poppins" w:hAnsi="Poppins" w:cs="Poppins"/>
                <w:b/>
                <w:bCs/>
              </w:rPr>
              <w:t>Confidential</w:t>
            </w:r>
            <w:r w:rsidR="00811054" w:rsidRPr="00BB3FC9">
              <w:rPr>
                <w:rFonts w:ascii="Poppins" w:hAnsi="Poppins" w:cs="Poppins"/>
              </w:rPr>
              <w:t xml:space="preserve"> (this </w:t>
            </w:r>
            <w:r w:rsidR="00811054" w:rsidRPr="00BB3FC9">
              <w:rPr>
                <w:rFonts w:ascii="Poppins" w:hAnsi="Poppins" w:cs="Poppins"/>
                <w:i/>
              </w:rPr>
              <w:t xml:space="preserve">will be disclosed to the Authority in full but, unless specified, </w:t>
            </w:r>
            <w:r w:rsidR="00811054" w:rsidRPr="00BB3FC9">
              <w:rPr>
                <w:rFonts w:ascii="Poppins" w:hAnsi="Poppins" w:cs="Poppins"/>
                <w:i/>
                <w:u w:val="single"/>
              </w:rPr>
              <w:t>will not be shared</w:t>
            </w:r>
            <w:r w:rsidR="00811054" w:rsidRPr="00BB3FC9">
              <w:rPr>
                <w:rFonts w:ascii="Poppins" w:hAnsi="Poppins" w:cs="Poppins"/>
                <w:i/>
              </w:rPr>
              <w:t xml:space="preserve"> with the Panel or the industry for further consideration)</w:t>
            </w:r>
          </w:p>
        </w:tc>
      </w:tr>
    </w:tbl>
    <w:p w14:paraId="1EF190F7" w14:textId="77777777" w:rsidR="00811054" w:rsidRPr="00BB3FC9" w:rsidRDefault="00811054" w:rsidP="00811054">
      <w:pPr>
        <w:pStyle w:val="BodyText"/>
        <w:rPr>
          <w:rFonts w:ascii="Poppins" w:hAnsi="Poppins" w:cs="Poppins"/>
          <w:b/>
          <w:color w:val="FF00FF" w:themeColor="accent1"/>
          <w:sz w:val="24"/>
        </w:rPr>
      </w:pPr>
      <w:r w:rsidRPr="00BB3FC9">
        <w:rPr>
          <w:rFonts w:ascii="Poppins" w:hAnsi="Poppins" w:cs="Poppins"/>
          <w:b/>
          <w:color w:val="3F0731" w:themeColor="text2"/>
          <w:sz w:val="24"/>
        </w:rPr>
        <w:lastRenderedPageBreak/>
        <w:t xml:space="preserve">For reference the Applicable CUSC (non-charging) Objectives are: </w:t>
      </w:r>
    </w:p>
    <w:p w14:paraId="34530436"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The efficient discharge by the Licensee of the obligations imposed on it by the Act and the Transmission Licence;</w:t>
      </w:r>
    </w:p>
    <w:p w14:paraId="6FD55319"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5E1CADC"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Compliance with the Electricity Regulation and any relevant legally binding decision of the European Commission and/or the Agency *; and</w:t>
      </w:r>
    </w:p>
    <w:p w14:paraId="22303F9A"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Promoting efficiency in the implementation and administration of the CUSC arrangements.</w:t>
      </w:r>
    </w:p>
    <w:p w14:paraId="66EF61F5" w14:textId="0BB4C6CA" w:rsidR="00811054" w:rsidRPr="002E28BA" w:rsidRDefault="00811054" w:rsidP="00811054">
      <w:pPr>
        <w:rPr>
          <w:rFonts w:ascii="Poppins" w:hAnsi="Poppins" w:cs="Poppins"/>
          <w:b/>
          <w:sz w:val="24"/>
        </w:rPr>
      </w:pPr>
      <w:r w:rsidRPr="00BB3FC9">
        <w:rPr>
          <w:rFonts w:ascii="Poppins" w:hAnsi="Poppins" w:cs="Poppins"/>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217F3C3C" w:rsidR="00811054" w:rsidRPr="00BB3FC9" w:rsidRDefault="00811054" w:rsidP="00811054">
      <w:pPr>
        <w:spacing w:line="256" w:lineRule="auto"/>
        <w:rPr>
          <w:rFonts w:ascii="Poppins" w:hAnsi="Poppins" w:cs="Poppins"/>
          <w:b/>
          <w:color w:val="3F0731" w:themeColor="text2"/>
          <w:sz w:val="24"/>
        </w:rPr>
      </w:pPr>
      <w:r w:rsidRPr="00BB3FC9">
        <w:rPr>
          <w:rFonts w:ascii="Poppins" w:hAnsi="Poppins" w:cs="Poppins"/>
          <w:b/>
          <w:color w:val="3F0731" w:themeColor="text2"/>
          <w:sz w:val="24"/>
        </w:rPr>
        <w:t xml:space="preserve">For reference, (for consultation questions </w:t>
      </w:r>
      <w:r w:rsidR="002E28BA">
        <w:rPr>
          <w:rFonts w:ascii="Poppins" w:hAnsi="Poppins" w:cs="Poppins"/>
          <w:b/>
          <w:color w:val="3F0731" w:themeColor="text2"/>
          <w:sz w:val="24"/>
        </w:rPr>
        <w:t>4</w:t>
      </w:r>
      <w:r w:rsidRPr="00BB3FC9">
        <w:rPr>
          <w:rFonts w:ascii="Poppins" w:hAnsi="Poppins" w:cs="Poppins"/>
          <w:b/>
          <w:color w:val="3F0731" w:themeColor="text2"/>
          <w:sz w:val="24"/>
        </w:rPr>
        <w:t xml:space="preserve"> &amp; </w:t>
      </w:r>
      <w:r w:rsidR="002E28BA">
        <w:rPr>
          <w:rFonts w:ascii="Poppins" w:hAnsi="Poppins" w:cs="Poppins"/>
          <w:b/>
          <w:color w:val="3F0731" w:themeColor="text2"/>
          <w:sz w:val="24"/>
        </w:rPr>
        <w:t>5</w:t>
      </w:r>
      <w:r w:rsidRPr="00BB3FC9">
        <w:rPr>
          <w:rFonts w:ascii="Poppins" w:hAnsi="Poppins" w:cs="Poppins"/>
          <w:b/>
          <w:color w:val="3F0731" w:themeColor="text2"/>
          <w:sz w:val="24"/>
        </w:rPr>
        <w:t>) the Electricity Balancing Regulation (EBR) Article 3 Objectives and regulatory aspects are:</w:t>
      </w:r>
    </w:p>
    <w:p w14:paraId="434CA712"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fostering effective competition, non-discrimination and transparency in balancing markets;</w:t>
      </w:r>
    </w:p>
    <w:p w14:paraId="6EB241B7"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enhancing efficiency of balancing as well as efficiency of national balancing markets;</w:t>
      </w:r>
    </w:p>
    <w:p w14:paraId="47900410"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integrating balancing markets and promoting the possibilities for exchanges of balancing services while contributing to operational security;</w:t>
      </w:r>
    </w:p>
    <w:p w14:paraId="7AF8B9F1"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lastRenderedPageBreak/>
        <w:t>facilitating the participation of renewable energy sources and supporting the achievement of any target specified in an enactment for the share of energy from renewable sources.</w:t>
      </w:r>
    </w:p>
    <w:p w14:paraId="0F5AA9F8" w14:textId="77777777" w:rsidR="00811054" w:rsidRPr="00BB3FC9"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BB3FC9" w14:paraId="7674D30B" w14:textId="77777777" w:rsidTr="009F1ACE">
        <w:tc>
          <w:tcPr>
            <w:tcW w:w="9486" w:type="dxa"/>
            <w:shd w:val="clear" w:color="auto" w:fill="FF00FF" w:themeFill="accent1"/>
          </w:tcPr>
          <w:p w14:paraId="24373EE6" w14:textId="77777777" w:rsidR="00811054" w:rsidRPr="00BB3FC9" w:rsidRDefault="00811054" w:rsidP="009F1ACE">
            <w:pPr>
              <w:rPr>
                <w:rFonts w:ascii="Poppins" w:hAnsi="Poppins" w:cs="Poppins"/>
                <w:b/>
                <w:color w:val="FFFFFF" w:themeColor="background1"/>
              </w:rPr>
            </w:pPr>
            <w:r w:rsidRPr="00BB3FC9">
              <w:rPr>
                <w:rFonts w:ascii="Poppins" w:hAnsi="Poppins" w:cs="Poppins"/>
                <w:b/>
                <w:color w:val="FFFFFF" w:themeColor="background1"/>
              </w:rPr>
              <w:t>What is the EBR?</w:t>
            </w:r>
          </w:p>
        </w:tc>
      </w:tr>
      <w:tr w:rsidR="00811054" w:rsidRPr="00BB3FC9" w14:paraId="73B12CE2" w14:textId="77777777" w:rsidTr="009F1ACE">
        <w:tc>
          <w:tcPr>
            <w:tcW w:w="9486" w:type="dxa"/>
          </w:tcPr>
          <w:p w14:paraId="7AD156DC" w14:textId="77777777" w:rsidR="00811054" w:rsidRPr="00BB3FC9" w:rsidRDefault="00811054" w:rsidP="009F1ACE">
            <w:pPr>
              <w:jc w:val="both"/>
              <w:rPr>
                <w:rFonts w:ascii="Poppins" w:hAnsi="Poppins" w:cs="Poppins"/>
              </w:rPr>
            </w:pPr>
            <w:r w:rsidRPr="00BB3FC9">
              <w:rPr>
                <w:rFonts w:ascii="Poppins" w:hAnsi="Poppins" w:cs="Poppins"/>
              </w:rPr>
              <w:t>The Electricity Balancing Regulation (EBR) is a European Network Code introduced by the Third Energy Package European legislation in late 2017.</w:t>
            </w:r>
          </w:p>
          <w:p w14:paraId="4BFE3E84" w14:textId="51665890" w:rsidR="00811054" w:rsidRPr="00BB3FC9" w:rsidRDefault="00811054" w:rsidP="009F1ACE">
            <w:pPr>
              <w:spacing w:before="120" w:after="120"/>
              <w:jc w:val="both"/>
              <w:rPr>
                <w:rFonts w:ascii="Poppins" w:hAnsi="Poppins" w:cs="Poppins"/>
              </w:rPr>
            </w:pPr>
            <w:r w:rsidRPr="00BB3FC9">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A328D8">
              <w:rPr>
                <w:rFonts w:ascii="Poppins" w:hAnsi="Poppins" w:cs="Poppins"/>
              </w:rPr>
              <w:t>N</w:t>
            </w:r>
            <w:r w:rsidRPr="00BB3FC9">
              <w:rPr>
                <w:rFonts w:ascii="Poppins" w:hAnsi="Poppins" w:cs="Poppins"/>
              </w:rPr>
              <w:t>ESO should have terms and conditions developed for balancing services, which are submitted and approved by Ofgem.</w:t>
            </w:r>
          </w:p>
        </w:tc>
      </w:tr>
    </w:tbl>
    <w:p w14:paraId="6F13DF9F" w14:textId="77777777" w:rsidR="00811054" w:rsidRPr="00BB3FC9" w:rsidRDefault="00811054" w:rsidP="00811054">
      <w:pPr>
        <w:rPr>
          <w:rFonts w:ascii="Poppins" w:hAnsi="Poppins" w:cs="Poppins"/>
          <w:i/>
        </w:rPr>
      </w:pPr>
    </w:p>
    <w:p w14:paraId="3055A82C" w14:textId="28FE3317" w:rsidR="00811054" w:rsidRPr="002E28BA" w:rsidRDefault="00811054" w:rsidP="002E28BA">
      <w:pPr>
        <w:pStyle w:val="BodyText"/>
        <w:rPr>
          <w:rFonts w:ascii="Poppins" w:hAnsi="Poppins" w:cs="Poppins"/>
          <w:b/>
          <w:sz w:val="24"/>
        </w:rPr>
      </w:pPr>
      <w:r w:rsidRPr="00BB3FC9">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958"/>
        <w:gridCol w:w="4395"/>
      </w:tblGrid>
      <w:tr w:rsidR="00811054" w:rsidRPr="00BB3FC9" w14:paraId="5899AFDF" w14:textId="77777777" w:rsidTr="00F05B8F">
        <w:trPr>
          <w:trHeight w:val="264"/>
        </w:trPr>
        <w:tc>
          <w:tcPr>
            <w:tcW w:w="9527" w:type="dxa"/>
            <w:gridSpan w:val="4"/>
            <w:shd w:val="clear" w:color="auto" w:fill="650B4E" w:themeFill="text2" w:themeFillTint="E6"/>
          </w:tcPr>
          <w:p w14:paraId="6121612C" w14:textId="77777777" w:rsidR="00811054" w:rsidRPr="00BB3FC9" w:rsidRDefault="00811054" w:rsidP="009F1ACE">
            <w:pPr>
              <w:ind w:left="-79"/>
              <w:rPr>
                <w:rFonts w:ascii="Poppins" w:hAnsi="Poppins" w:cs="Poppins"/>
                <w:b/>
                <w:color w:val="FFFFFF" w:themeColor="background1"/>
                <w:sz w:val="24"/>
              </w:rPr>
            </w:pPr>
            <w:r w:rsidRPr="00BB3FC9">
              <w:rPr>
                <w:rFonts w:ascii="Poppins" w:hAnsi="Poppins" w:cs="Poppins"/>
                <w:b/>
                <w:color w:val="FFFFFF" w:themeColor="background1"/>
                <w:sz w:val="24"/>
              </w:rPr>
              <w:t>Standard Code Administrator Consultation questions</w:t>
            </w:r>
          </w:p>
        </w:tc>
      </w:tr>
      <w:tr w:rsidR="00811054" w:rsidRPr="00BB3FC9" w14:paraId="33CEB547" w14:textId="77777777" w:rsidTr="00F05B8F">
        <w:trPr>
          <w:trHeight w:val="500"/>
        </w:trPr>
        <w:tc>
          <w:tcPr>
            <w:tcW w:w="483" w:type="dxa"/>
            <w:vMerge w:val="restart"/>
          </w:tcPr>
          <w:p w14:paraId="1AFCE484" w14:textId="77777777" w:rsidR="00811054" w:rsidRPr="00BB3FC9" w:rsidRDefault="00811054" w:rsidP="009F1ACE">
            <w:pPr>
              <w:rPr>
                <w:rFonts w:ascii="Poppins" w:hAnsi="Poppins" w:cs="Poppins"/>
                <w:sz w:val="24"/>
              </w:rPr>
            </w:pPr>
            <w:r w:rsidRPr="00BB3FC9">
              <w:rPr>
                <w:rFonts w:ascii="Poppins" w:hAnsi="Poppins" w:cs="Poppins"/>
                <w:sz w:val="24"/>
              </w:rPr>
              <w:t>1</w:t>
            </w:r>
          </w:p>
        </w:tc>
        <w:tc>
          <w:tcPr>
            <w:tcW w:w="2691" w:type="dxa"/>
            <w:vMerge w:val="restart"/>
          </w:tcPr>
          <w:p w14:paraId="72D76202" w14:textId="4FF1F115" w:rsidR="00811054" w:rsidRPr="00BB3FC9" w:rsidRDefault="00811054" w:rsidP="009F1ACE">
            <w:pPr>
              <w:rPr>
                <w:rFonts w:ascii="Poppins" w:hAnsi="Poppins" w:cs="Poppins"/>
                <w:bCs/>
                <w:sz w:val="24"/>
              </w:rPr>
            </w:pPr>
            <w:r w:rsidRPr="00BB3FC9">
              <w:rPr>
                <w:rFonts w:ascii="Poppins" w:hAnsi="Poppins" w:cs="Poppins"/>
                <w:sz w:val="24"/>
              </w:rPr>
              <w:t>Please provide your assessment for the proposed solution against the Applicable Objectives?</w:t>
            </w:r>
          </w:p>
        </w:tc>
        <w:tc>
          <w:tcPr>
            <w:tcW w:w="6353" w:type="dxa"/>
            <w:gridSpan w:val="2"/>
          </w:tcPr>
          <w:p w14:paraId="4BD7E08F" w14:textId="44062369" w:rsidR="00811054" w:rsidRPr="00BB3FC9" w:rsidRDefault="00811054" w:rsidP="009F1ACE">
            <w:pPr>
              <w:pStyle w:val="BodyText"/>
              <w:rPr>
                <w:rFonts w:ascii="Poppins" w:hAnsi="Poppins" w:cs="Poppins"/>
                <w:sz w:val="24"/>
              </w:rPr>
            </w:pPr>
            <w:r w:rsidRPr="00BB3FC9">
              <w:rPr>
                <w:rFonts w:ascii="Poppins" w:hAnsi="Poppins" w:cs="Poppins"/>
                <w:sz w:val="24"/>
              </w:rPr>
              <w:t>Mark the Objectives which you believe the proposed solution better facilitates:</w:t>
            </w:r>
          </w:p>
        </w:tc>
      </w:tr>
      <w:tr w:rsidR="00811054" w:rsidRPr="00BB3FC9" w14:paraId="5418AE2C" w14:textId="77777777" w:rsidTr="00F05B8F">
        <w:trPr>
          <w:trHeight w:val="126"/>
        </w:trPr>
        <w:tc>
          <w:tcPr>
            <w:tcW w:w="483" w:type="dxa"/>
            <w:vMerge/>
          </w:tcPr>
          <w:p w14:paraId="1C0D2AC7" w14:textId="77777777" w:rsidR="00811054" w:rsidRPr="00BB3FC9" w:rsidRDefault="00811054" w:rsidP="009F1ACE">
            <w:pPr>
              <w:rPr>
                <w:rFonts w:ascii="Poppins" w:hAnsi="Poppins" w:cs="Poppins"/>
                <w:sz w:val="24"/>
              </w:rPr>
            </w:pPr>
          </w:p>
        </w:tc>
        <w:tc>
          <w:tcPr>
            <w:tcW w:w="2691" w:type="dxa"/>
            <w:vMerge/>
          </w:tcPr>
          <w:p w14:paraId="402EE0CC" w14:textId="77777777" w:rsidR="00811054" w:rsidRPr="00BB3FC9" w:rsidRDefault="00811054" w:rsidP="009F1ACE">
            <w:pPr>
              <w:rPr>
                <w:rFonts w:ascii="Poppins" w:hAnsi="Poppins" w:cs="Poppins"/>
                <w:sz w:val="24"/>
              </w:rPr>
            </w:pPr>
          </w:p>
        </w:tc>
        <w:tc>
          <w:tcPr>
            <w:tcW w:w="1958" w:type="dxa"/>
          </w:tcPr>
          <w:p w14:paraId="6172B70B" w14:textId="77777777" w:rsidR="00811054" w:rsidRPr="00BB3FC9" w:rsidRDefault="00811054" w:rsidP="009F1ACE">
            <w:pPr>
              <w:pStyle w:val="BodyText"/>
              <w:rPr>
                <w:rFonts w:ascii="Poppins" w:hAnsi="Poppins" w:cs="Poppins"/>
                <w:sz w:val="24"/>
              </w:rPr>
            </w:pPr>
            <w:r w:rsidRPr="00BB3FC9">
              <w:rPr>
                <w:rFonts w:ascii="Poppins" w:hAnsi="Poppins" w:cs="Poppins"/>
                <w:sz w:val="24"/>
              </w:rPr>
              <w:t>Original</w:t>
            </w:r>
          </w:p>
        </w:tc>
        <w:tc>
          <w:tcPr>
            <w:tcW w:w="4395" w:type="dxa"/>
          </w:tcPr>
          <w:p w14:paraId="08E4FF09" w14:textId="6F4D12D9" w:rsidR="00811054" w:rsidRPr="00BB3FC9" w:rsidRDefault="00A328D8" w:rsidP="009F1ACE">
            <w:pPr>
              <w:pStyle w:val="BodyText"/>
              <w:rPr>
                <w:rFonts w:ascii="Poppins" w:hAnsi="Poppins" w:cs="Poppins"/>
                <w:sz w:val="24"/>
              </w:rPr>
            </w:pPr>
            <w:sdt>
              <w:sdtPr>
                <w:rPr>
                  <w:rFonts w:ascii="Poppins" w:hAnsi="Poppins" w:cs="Poppins"/>
                  <w:sz w:val="24"/>
                </w:rPr>
                <w:id w:val="2145538595"/>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A   </w:t>
            </w:r>
            <w:sdt>
              <w:sdtPr>
                <w:rPr>
                  <w:rFonts w:ascii="Poppins" w:hAnsi="Poppins" w:cs="Poppins"/>
                  <w:sz w:val="24"/>
                </w:rPr>
                <w:id w:val="188907611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B   </w:t>
            </w:r>
            <w:sdt>
              <w:sdtPr>
                <w:rPr>
                  <w:rFonts w:ascii="Poppins" w:hAnsi="Poppins" w:cs="Poppins"/>
                  <w:sz w:val="24"/>
                </w:rPr>
                <w:id w:val="283154944"/>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C   </w:t>
            </w:r>
            <w:sdt>
              <w:sdtPr>
                <w:rPr>
                  <w:rFonts w:ascii="Poppins" w:hAnsi="Poppins" w:cs="Poppins"/>
                  <w:sz w:val="24"/>
                </w:rPr>
                <w:id w:val="132863436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D   </w:t>
            </w:r>
          </w:p>
        </w:tc>
      </w:tr>
      <w:tr w:rsidR="00811054" w:rsidRPr="00BB3FC9" w14:paraId="30785DA0" w14:textId="77777777" w:rsidTr="00F05B8F">
        <w:trPr>
          <w:trHeight w:val="500"/>
        </w:trPr>
        <w:tc>
          <w:tcPr>
            <w:tcW w:w="483" w:type="dxa"/>
            <w:vMerge/>
          </w:tcPr>
          <w:p w14:paraId="3D78C4DD" w14:textId="77777777" w:rsidR="00811054" w:rsidRPr="00BB3FC9" w:rsidRDefault="00811054" w:rsidP="009F1ACE">
            <w:pPr>
              <w:rPr>
                <w:rFonts w:ascii="Poppins" w:hAnsi="Poppins" w:cs="Poppins"/>
                <w:sz w:val="24"/>
              </w:rPr>
            </w:pPr>
          </w:p>
        </w:tc>
        <w:tc>
          <w:tcPr>
            <w:tcW w:w="2691" w:type="dxa"/>
            <w:vMerge/>
          </w:tcPr>
          <w:p w14:paraId="5D252F1F" w14:textId="77777777" w:rsidR="00811054" w:rsidRPr="00BB3FC9" w:rsidRDefault="00811054" w:rsidP="009F1ACE">
            <w:pPr>
              <w:rPr>
                <w:rFonts w:ascii="Poppins" w:hAnsi="Poppins" w:cs="Poppins"/>
                <w:sz w:val="24"/>
              </w:rPr>
            </w:pPr>
          </w:p>
        </w:tc>
        <w:sdt>
          <w:sdtPr>
            <w:rPr>
              <w:rFonts w:ascii="Poppins" w:hAnsi="Poppins" w:cs="Poppins"/>
              <w:sz w:val="24"/>
            </w:rPr>
            <w:id w:val="-1563557985"/>
            <w:placeholder>
              <w:docPart w:val="11D244331F094B33A2828D2C256861E9"/>
            </w:placeholder>
            <w:showingPlcHdr/>
          </w:sdtPr>
          <w:sdtEndPr/>
          <w:sdtContent>
            <w:tc>
              <w:tcPr>
                <w:tcW w:w="6353" w:type="dxa"/>
                <w:gridSpan w:val="2"/>
              </w:tcPr>
              <w:p w14:paraId="768D941F" w14:textId="77777777" w:rsidR="00811054" w:rsidRPr="00BB3FC9" w:rsidRDefault="00811054" w:rsidP="009F1ACE">
                <w:pPr>
                  <w:pStyle w:val="BodyText"/>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6E85C283" w14:textId="77777777" w:rsidTr="00F05B8F">
        <w:trPr>
          <w:trHeight w:val="600"/>
        </w:trPr>
        <w:tc>
          <w:tcPr>
            <w:tcW w:w="483" w:type="dxa"/>
            <w:vMerge w:val="restart"/>
          </w:tcPr>
          <w:p w14:paraId="2658C076" w14:textId="2FDF037F" w:rsidR="00811054" w:rsidRPr="00BB3FC9" w:rsidRDefault="002E28BA" w:rsidP="009F1ACE">
            <w:pPr>
              <w:rPr>
                <w:rFonts w:ascii="Poppins" w:hAnsi="Poppins" w:cs="Poppins"/>
                <w:sz w:val="24"/>
              </w:rPr>
            </w:pPr>
            <w:r>
              <w:rPr>
                <w:rFonts w:ascii="Poppins" w:hAnsi="Poppins" w:cs="Poppins"/>
                <w:sz w:val="24"/>
              </w:rPr>
              <w:t>2</w:t>
            </w:r>
          </w:p>
        </w:tc>
        <w:tc>
          <w:tcPr>
            <w:tcW w:w="2691" w:type="dxa"/>
            <w:vMerge w:val="restart"/>
          </w:tcPr>
          <w:p w14:paraId="35DC481C" w14:textId="77777777" w:rsidR="00811054" w:rsidRPr="00BB3FC9" w:rsidRDefault="00811054" w:rsidP="009F1ACE">
            <w:pPr>
              <w:rPr>
                <w:rFonts w:ascii="Poppins" w:hAnsi="Poppins" w:cs="Poppins"/>
                <w:bCs/>
                <w:sz w:val="24"/>
              </w:rPr>
            </w:pPr>
            <w:r w:rsidRPr="00BB3FC9">
              <w:rPr>
                <w:rFonts w:ascii="Poppins" w:hAnsi="Poppins" w:cs="Poppins"/>
                <w:sz w:val="24"/>
              </w:rPr>
              <w:t>Do you support the proposed implementation approach?</w:t>
            </w:r>
          </w:p>
        </w:tc>
        <w:tc>
          <w:tcPr>
            <w:tcW w:w="6353" w:type="dxa"/>
            <w:gridSpan w:val="2"/>
          </w:tcPr>
          <w:p w14:paraId="5EC71A75" w14:textId="77777777" w:rsidR="00811054" w:rsidRPr="00BB3FC9" w:rsidRDefault="00A328D8" w:rsidP="009F1ACE">
            <w:pPr>
              <w:rPr>
                <w:rFonts w:ascii="Poppins" w:hAnsi="Poppins" w:cs="Poppins"/>
                <w:sz w:val="24"/>
              </w:rPr>
            </w:pPr>
            <w:sdt>
              <w:sdtPr>
                <w:rPr>
                  <w:rFonts w:ascii="Poppins" w:hAnsi="Poppins" w:cs="Poppins"/>
                  <w:sz w:val="24"/>
                </w:rPr>
                <w:id w:val="1523353888"/>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4B148D83" w14:textId="4E5FAC26" w:rsidR="00811054" w:rsidRPr="00BB3FC9" w:rsidRDefault="00A328D8" w:rsidP="009F1ACE">
            <w:pPr>
              <w:rPr>
                <w:rFonts w:ascii="Poppins" w:hAnsi="Poppins" w:cs="Poppins"/>
                <w:sz w:val="24"/>
              </w:rPr>
            </w:pPr>
            <w:sdt>
              <w:sdtPr>
                <w:rPr>
                  <w:rFonts w:ascii="Poppins" w:hAnsi="Poppins" w:cs="Poppins"/>
                  <w:sz w:val="24"/>
                </w:rPr>
                <w:id w:val="-272717404"/>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767FDBA7" w14:textId="77777777" w:rsidTr="00F05B8F">
        <w:trPr>
          <w:trHeight w:val="600"/>
        </w:trPr>
        <w:tc>
          <w:tcPr>
            <w:tcW w:w="483" w:type="dxa"/>
            <w:vMerge/>
          </w:tcPr>
          <w:p w14:paraId="1C841952" w14:textId="77777777" w:rsidR="00811054" w:rsidRPr="00BB3FC9" w:rsidRDefault="00811054" w:rsidP="009F1ACE">
            <w:pPr>
              <w:rPr>
                <w:rFonts w:ascii="Poppins" w:hAnsi="Poppins" w:cs="Poppins"/>
                <w:sz w:val="24"/>
              </w:rPr>
            </w:pPr>
          </w:p>
        </w:tc>
        <w:tc>
          <w:tcPr>
            <w:tcW w:w="2691" w:type="dxa"/>
            <w:vMerge/>
          </w:tcPr>
          <w:p w14:paraId="12CC30D7" w14:textId="77777777" w:rsidR="00811054" w:rsidRPr="00BB3FC9" w:rsidRDefault="00811054" w:rsidP="009F1ACE">
            <w:pPr>
              <w:rPr>
                <w:rFonts w:ascii="Poppins" w:hAnsi="Poppins" w:cs="Poppins"/>
                <w:sz w:val="24"/>
              </w:rPr>
            </w:pPr>
          </w:p>
        </w:tc>
        <w:sdt>
          <w:sdtPr>
            <w:rPr>
              <w:rFonts w:ascii="Poppins" w:hAnsi="Poppins" w:cs="Poppins"/>
              <w:sz w:val="24"/>
            </w:rPr>
            <w:id w:val="1527363539"/>
            <w:placeholder>
              <w:docPart w:val="CF802D2CA1BE494CB018331FE1D7E5B0"/>
            </w:placeholder>
            <w:showingPlcHdr/>
          </w:sdtPr>
          <w:sdtEndPr/>
          <w:sdtContent>
            <w:tc>
              <w:tcPr>
                <w:tcW w:w="6353" w:type="dxa"/>
                <w:gridSpan w:val="2"/>
              </w:tcPr>
              <w:p w14:paraId="3E7A579C"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26FE500E" w14:textId="77777777" w:rsidTr="00F05B8F">
        <w:trPr>
          <w:trHeight w:val="264"/>
        </w:trPr>
        <w:tc>
          <w:tcPr>
            <w:tcW w:w="483" w:type="dxa"/>
          </w:tcPr>
          <w:p w14:paraId="221A89A9" w14:textId="2766B88C" w:rsidR="00811054" w:rsidRPr="00BB3FC9" w:rsidRDefault="002E28BA" w:rsidP="009F1ACE">
            <w:pPr>
              <w:rPr>
                <w:rFonts w:ascii="Poppins" w:hAnsi="Poppins" w:cs="Poppins"/>
                <w:sz w:val="24"/>
              </w:rPr>
            </w:pPr>
            <w:r>
              <w:rPr>
                <w:rFonts w:ascii="Poppins" w:hAnsi="Poppins" w:cs="Poppins"/>
                <w:sz w:val="24"/>
              </w:rPr>
              <w:lastRenderedPageBreak/>
              <w:t>3</w:t>
            </w:r>
          </w:p>
        </w:tc>
        <w:tc>
          <w:tcPr>
            <w:tcW w:w="2691" w:type="dxa"/>
          </w:tcPr>
          <w:p w14:paraId="6F1FD2C3" w14:textId="77777777" w:rsidR="00811054" w:rsidRPr="00BB3FC9" w:rsidRDefault="00811054" w:rsidP="009F1ACE">
            <w:pPr>
              <w:rPr>
                <w:rFonts w:ascii="Poppins" w:hAnsi="Poppins" w:cs="Poppins"/>
                <w:bCs/>
                <w:sz w:val="24"/>
              </w:rPr>
            </w:pPr>
            <w:r w:rsidRPr="00BB3FC9">
              <w:rPr>
                <w:rFonts w:ascii="Poppins" w:hAnsi="Poppins" w:cs="Poppins"/>
                <w:bCs/>
                <w:sz w:val="24"/>
              </w:rPr>
              <w:t>Do you have any other comments?</w:t>
            </w:r>
          </w:p>
        </w:tc>
        <w:sdt>
          <w:sdtPr>
            <w:rPr>
              <w:rFonts w:ascii="Poppins" w:hAnsi="Poppins" w:cs="Poppins"/>
              <w:sz w:val="24"/>
            </w:rPr>
            <w:id w:val="1307668979"/>
            <w:placeholder>
              <w:docPart w:val="8EC097CE97004EEA91D1D53EDCD2ADFD"/>
            </w:placeholder>
            <w:showingPlcHdr/>
          </w:sdtPr>
          <w:sdtEndPr/>
          <w:sdtContent>
            <w:tc>
              <w:tcPr>
                <w:tcW w:w="6353" w:type="dxa"/>
                <w:gridSpan w:val="2"/>
              </w:tcPr>
              <w:p w14:paraId="32E56FC9"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3E213961" w14:textId="77777777" w:rsidTr="00F05B8F">
        <w:trPr>
          <w:trHeight w:val="1087"/>
        </w:trPr>
        <w:tc>
          <w:tcPr>
            <w:tcW w:w="483" w:type="dxa"/>
            <w:vMerge w:val="restart"/>
          </w:tcPr>
          <w:p w14:paraId="0552015B" w14:textId="093A22C6" w:rsidR="00811054" w:rsidRPr="00BB3FC9" w:rsidRDefault="002E28BA" w:rsidP="009F1ACE">
            <w:pPr>
              <w:rPr>
                <w:rFonts w:ascii="Poppins" w:hAnsi="Poppins" w:cs="Poppins"/>
                <w:sz w:val="24"/>
              </w:rPr>
            </w:pPr>
            <w:bookmarkStart w:id="1" w:name="_Hlk65582802"/>
            <w:r>
              <w:rPr>
                <w:rFonts w:ascii="Poppins" w:hAnsi="Poppins" w:cs="Poppins"/>
                <w:sz w:val="24"/>
              </w:rPr>
              <w:t>4</w:t>
            </w:r>
          </w:p>
        </w:tc>
        <w:tc>
          <w:tcPr>
            <w:tcW w:w="2691" w:type="dxa"/>
            <w:vMerge w:val="restart"/>
          </w:tcPr>
          <w:p w14:paraId="360AB27C" w14:textId="107ADCFE" w:rsidR="00811054" w:rsidRPr="00BB3FC9" w:rsidRDefault="00811054" w:rsidP="009F1ACE">
            <w:pPr>
              <w:rPr>
                <w:rFonts w:ascii="Poppins" w:hAnsi="Poppins" w:cs="Poppins"/>
                <w:bCs/>
                <w:sz w:val="24"/>
              </w:rPr>
            </w:pPr>
            <w:r w:rsidRPr="00BB3FC9">
              <w:rPr>
                <w:rFonts w:ascii="Poppins" w:hAnsi="Poppins" w:cs="Poppins"/>
                <w:sz w:val="24"/>
              </w:rPr>
              <w:t xml:space="preserve">Do you agree with the </w:t>
            </w:r>
            <w:r w:rsidR="002E28BA">
              <w:rPr>
                <w:rFonts w:ascii="Poppins" w:hAnsi="Poppins" w:cs="Poppins"/>
                <w:sz w:val="24"/>
              </w:rPr>
              <w:t xml:space="preserve">Proposer’s </w:t>
            </w:r>
            <w:r w:rsidRPr="00BB3FC9">
              <w:rPr>
                <w:rFonts w:ascii="Poppins" w:hAnsi="Poppins" w:cs="Poppins"/>
                <w:sz w:val="24"/>
              </w:rPr>
              <w:t xml:space="preserve">assessment that </w:t>
            </w:r>
            <w:r w:rsidR="002E28BA" w:rsidRPr="002E28BA">
              <w:rPr>
                <w:rFonts w:ascii="Poppins" w:hAnsi="Poppins" w:cs="Poppins"/>
                <w:sz w:val="24"/>
              </w:rPr>
              <w:t>CMP443</w:t>
            </w:r>
            <w:r w:rsidRPr="002E28BA">
              <w:rPr>
                <w:rFonts w:ascii="Poppins" w:hAnsi="Poppins" w:cs="Poppins"/>
                <w:sz w:val="24"/>
              </w:rPr>
              <w:t xml:space="preserve"> does</w:t>
            </w:r>
            <w:r w:rsidR="002E28BA">
              <w:rPr>
                <w:rFonts w:ascii="Poppins" w:hAnsi="Poppins" w:cs="Poppins"/>
                <w:sz w:val="24"/>
              </w:rPr>
              <w:t xml:space="preserve"> </w:t>
            </w:r>
            <w:r w:rsidRPr="00BB3FC9">
              <w:rPr>
                <w:rFonts w:ascii="Poppins" w:hAnsi="Poppins" w:cs="Poppins"/>
                <w:sz w:val="24"/>
              </w:rPr>
              <w:t xml:space="preserve">impact the Electricity Balancing Regulation (EBR) Article 18 terms and conditions held within the </w:t>
            </w:r>
            <w:r w:rsidR="002E28BA">
              <w:rPr>
                <w:rFonts w:ascii="Poppins" w:hAnsi="Poppins" w:cs="Poppins"/>
                <w:sz w:val="24"/>
              </w:rPr>
              <w:t>CUSC</w:t>
            </w:r>
            <w:r w:rsidRPr="00BB3FC9">
              <w:rPr>
                <w:rFonts w:ascii="Poppins" w:hAnsi="Poppins" w:cs="Poppins"/>
                <w:sz w:val="24"/>
              </w:rPr>
              <w:t xml:space="preserve">?   </w:t>
            </w:r>
          </w:p>
        </w:tc>
        <w:tc>
          <w:tcPr>
            <w:tcW w:w="6353" w:type="dxa"/>
            <w:gridSpan w:val="2"/>
          </w:tcPr>
          <w:p w14:paraId="536E2240" w14:textId="77777777" w:rsidR="00811054" w:rsidRPr="00BB3FC9" w:rsidRDefault="00A328D8" w:rsidP="009F1ACE">
            <w:pPr>
              <w:rPr>
                <w:rFonts w:ascii="Poppins" w:hAnsi="Poppins" w:cs="Poppins"/>
                <w:sz w:val="24"/>
              </w:rPr>
            </w:pPr>
            <w:sdt>
              <w:sdtPr>
                <w:rPr>
                  <w:rFonts w:ascii="Poppins" w:hAnsi="Poppins" w:cs="Poppins"/>
                  <w:sz w:val="24"/>
                </w:rPr>
                <w:id w:val="293105495"/>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7864626F" w14:textId="2E09AD8D" w:rsidR="00811054" w:rsidRPr="00BB3FC9" w:rsidRDefault="00A328D8" w:rsidP="009F1ACE">
            <w:pPr>
              <w:rPr>
                <w:rFonts w:ascii="Poppins" w:hAnsi="Poppins" w:cs="Poppins"/>
                <w:sz w:val="24"/>
              </w:rPr>
            </w:pPr>
            <w:sdt>
              <w:sdtPr>
                <w:rPr>
                  <w:rFonts w:ascii="Poppins" w:hAnsi="Poppins" w:cs="Poppins"/>
                  <w:sz w:val="24"/>
                </w:rPr>
                <w:id w:val="-1340619261"/>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221A049F" w14:textId="77777777" w:rsidTr="00F05B8F">
        <w:trPr>
          <w:trHeight w:val="1500"/>
        </w:trPr>
        <w:tc>
          <w:tcPr>
            <w:tcW w:w="483" w:type="dxa"/>
            <w:vMerge/>
          </w:tcPr>
          <w:p w14:paraId="1BA31E39" w14:textId="77777777" w:rsidR="00811054" w:rsidRPr="00BB3FC9" w:rsidRDefault="00811054" w:rsidP="009F1ACE">
            <w:pPr>
              <w:rPr>
                <w:rFonts w:ascii="Poppins" w:hAnsi="Poppins" w:cs="Poppins"/>
                <w:sz w:val="24"/>
              </w:rPr>
            </w:pPr>
          </w:p>
        </w:tc>
        <w:tc>
          <w:tcPr>
            <w:tcW w:w="2691" w:type="dxa"/>
            <w:vMerge/>
          </w:tcPr>
          <w:p w14:paraId="5BCB3E55" w14:textId="77777777" w:rsidR="00811054" w:rsidRPr="00BB3FC9" w:rsidRDefault="00811054" w:rsidP="009F1ACE">
            <w:pPr>
              <w:rPr>
                <w:rFonts w:ascii="Poppins" w:hAnsi="Poppins" w:cs="Poppins"/>
                <w:sz w:val="24"/>
              </w:rPr>
            </w:pPr>
          </w:p>
        </w:tc>
        <w:sdt>
          <w:sdtPr>
            <w:rPr>
              <w:rFonts w:ascii="Poppins" w:hAnsi="Poppins" w:cs="Poppins"/>
              <w:sz w:val="24"/>
            </w:rPr>
            <w:id w:val="-1841459716"/>
            <w:placeholder>
              <w:docPart w:val="53A5D9D530634A62B5EC6422119D9609"/>
            </w:placeholder>
            <w:showingPlcHdr/>
          </w:sdtPr>
          <w:sdtEndPr/>
          <w:sdtContent>
            <w:tc>
              <w:tcPr>
                <w:tcW w:w="6353" w:type="dxa"/>
                <w:gridSpan w:val="2"/>
              </w:tcPr>
              <w:p w14:paraId="1F23239D"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bookmarkEnd w:id="1"/>
      <w:tr w:rsidR="00811054" w:rsidRPr="00BB3FC9" w14:paraId="0B50756E" w14:textId="77777777" w:rsidTr="00F05B8F">
        <w:trPr>
          <w:trHeight w:val="600"/>
        </w:trPr>
        <w:tc>
          <w:tcPr>
            <w:tcW w:w="483" w:type="dxa"/>
            <w:vMerge w:val="restart"/>
          </w:tcPr>
          <w:p w14:paraId="5B2FFF48" w14:textId="49AA6FDA" w:rsidR="00811054" w:rsidRPr="00BB3FC9" w:rsidRDefault="002E28BA" w:rsidP="009F1ACE">
            <w:pPr>
              <w:rPr>
                <w:rFonts w:ascii="Poppins" w:hAnsi="Poppins" w:cs="Poppins"/>
                <w:sz w:val="24"/>
              </w:rPr>
            </w:pPr>
            <w:r>
              <w:rPr>
                <w:rFonts w:ascii="Poppins" w:hAnsi="Poppins" w:cs="Poppins"/>
                <w:sz w:val="24"/>
              </w:rPr>
              <w:t>5</w:t>
            </w:r>
          </w:p>
        </w:tc>
        <w:tc>
          <w:tcPr>
            <w:tcW w:w="2691" w:type="dxa"/>
            <w:vMerge w:val="restart"/>
          </w:tcPr>
          <w:p w14:paraId="5B615DD9" w14:textId="0230E642" w:rsidR="00811054" w:rsidRPr="00BB3FC9" w:rsidRDefault="00811054" w:rsidP="009F1ACE">
            <w:pPr>
              <w:rPr>
                <w:rFonts w:ascii="Poppins" w:hAnsi="Poppins" w:cs="Poppins"/>
                <w:bCs/>
                <w:sz w:val="24"/>
              </w:rPr>
            </w:pPr>
            <w:bookmarkStart w:id="2" w:name="_Hlk65582824"/>
            <w:r w:rsidRPr="00BB3FC9">
              <w:rPr>
                <w:rFonts w:ascii="Poppins" w:hAnsi="Poppins" w:cs="Poppins"/>
                <w:sz w:val="24"/>
              </w:rPr>
              <w:t xml:space="preserve">Do you have any comments on the impact of </w:t>
            </w:r>
            <w:r w:rsidR="002E28BA">
              <w:rPr>
                <w:rFonts w:ascii="Poppins" w:hAnsi="Poppins" w:cs="Poppins"/>
                <w:sz w:val="24"/>
              </w:rPr>
              <w:t xml:space="preserve">CMP443 </w:t>
            </w:r>
            <w:r w:rsidRPr="00BB3FC9">
              <w:rPr>
                <w:rFonts w:ascii="Poppins" w:hAnsi="Poppins" w:cs="Poppins"/>
                <w:sz w:val="24"/>
              </w:rPr>
              <w:t>on the EBR Objectives?</w:t>
            </w:r>
            <w:bookmarkEnd w:id="2"/>
          </w:p>
        </w:tc>
        <w:tc>
          <w:tcPr>
            <w:tcW w:w="6353" w:type="dxa"/>
            <w:gridSpan w:val="2"/>
          </w:tcPr>
          <w:p w14:paraId="415A2EDD" w14:textId="77777777" w:rsidR="00811054" w:rsidRPr="00BB3FC9" w:rsidRDefault="00A328D8" w:rsidP="009F1ACE">
            <w:pPr>
              <w:rPr>
                <w:rFonts w:ascii="Poppins" w:hAnsi="Poppins" w:cs="Poppins"/>
                <w:sz w:val="24"/>
              </w:rPr>
            </w:pPr>
            <w:sdt>
              <w:sdtPr>
                <w:rPr>
                  <w:rFonts w:ascii="Poppins" w:hAnsi="Poppins" w:cs="Poppins"/>
                  <w:sz w:val="24"/>
                </w:rPr>
                <w:id w:val="-179088819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04A3646E" w14:textId="5D844C02" w:rsidR="00811054" w:rsidRPr="00BB3FC9" w:rsidRDefault="00A328D8" w:rsidP="009F1ACE">
            <w:pPr>
              <w:rPr>
                <w:rFonts w:ascii="Poppins" w:hAnsi="Poppins" w:cs="Poppins"/>
                <w:sz w:val="24"/>
              </w:rPr>
            </w:pPr>
            <w:sdt>
              <w:sdtPr>
                <w:rPr>
                  <w:rFonts w:ascii="Poppins" w:hAnsi="Poppins" w:cs="Poppins"/>
                  <w:sz w:val="24"/>
                </w:rPr>
                <w:id w:val="94543579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10745B23" w14:textId="77777777" w:rsidTr="00F05B8F">
        <w:trPr>
          <w:trHeight w:val="600"/>
        </w:trPr>
        <w:tc>
          <w:tcPr>
            <w:tcW w:w="483" w:type="dxa"/>
            <w:vMerge/>
          </w:tcPr>
          <w:p w14:paraId="28B5A98C" w14:textId="77777777" w:rsidR="00811054" w:rsidRPr="00BB3FC9" w:rsidRDefault="00811054" w:rsidP="009F1ACE">
            <w:pPr>
              <w:rPr>
                <w:rFonts w:ascii="Poppins" w:hAnsi="Poppins" w:cs="Poppins"/>
                <w:sz w:val="24"/>
              </w:rPr>
            </w:pPr>
          </w:p>
        </w:tc>
        <w:tc>
          <w:tcPr>
            <w:tcW w:w="2691" w:type="dxa"/>
            <w:vMerge/>
          </w:tcPr>
          <w:p w14:paraId="5C361642" w14:textId="77777777" w:rsidR="00811054" w:rsidRPr="00BB3FC9" w:rsidRDefault="00811054" w:rsidP="009F1ACE">
            <w:pPr>
              <w:rPr>
                <w:rFonts w:ascii="Poppins" w:hAnsi="Poppins" w:cs="Poppins"/>
                <w:sz w:val="24"/>
              </w:rPr>
            </w:pPr>
          </w:p>
        </w:tc>
        <w:sdt>
          <w:sdtPr>
            <w:rPr>
              <w:rFonts w:ascii="Poppins" w:hAnsi="Poppins" w:cs="Poppins"/>
              <w:sz w:val="24"/>
            </w:rPr>
            <w:id w:val="1102615386"/>
            <w:placeholder>
              <w:docPart w:val="D1D8AA0535B24D4686653833F5CC9794"/>
            </w:placeholder>
            <w:showingPlcHdr/>
          </w:sdtPr>
          <w:sdtEndPr/>
          <w:sdtContent>
            <w:tc>
              <w:tcPr>
                <w:tcW w:w="6353" w:type="dxa"/>
                <w:gridSpan w:val="2"/>
              </w:tcPr>
              <w:p w14:paraId="2200B6DF"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bl>
    <w:p w14:paraId="5FDDB72D" w14:textId="77777777" w:rsidR="00F4613D" w:rsidRPr="00BB3FC9" w:rsidRDefault="00F4613D" w:rsidP="00F4613D">
      <w:pPr>
        <w:tabs>
          <w:tab w:val="left" w:pos="2820"/>
        </w:tabs>
        <w:rPr>
          <w:rFonts w:ascii="Poppins" w:hAnsi="Poppins" w:cs="Poppins"/>
          <w:sz w:val="24"/>
        </w:rPr>
      </w:pPr>
    </w:p>
    <w:sectPr w:rsidR="00F4613D" w:rsidRPr="00BB3FC9"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0F5B" w14:textId="77777777" w:rsidR="004303A1" w:rsidRDefault="004303A1" w:rsidP="00A62BFF">
      <w:r>
        <w:separator/>
      </w:r>
    </w:p>
  </w:endnote>
  <w:endnote w:type="continuationSeparator" w:id="0">
    <w:p w14:paraId="55C0300D" w14:textId="77777777" w:rsidR="004303A1" w:rsidRDefault="004303A1" w:rsidP="00A62BFF">
      <w:r>
        <w:continuationSeparator/>
      </w:r>
    </w:p>
  </w:endnote>
  <w:endnote w:type="continuationNotice" w:id="1">
    <w:p w14:paraId="2D3F2286" w14:textId="77777777" w:rsidR="004303A1" w:rsidRDefault="00430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F1028" w14:textId="77777777" w:rsidR="004303A1" w:rsidRDefault="004303A1" w:rsidP="00A62BFF">
      <w:r>
        <w:separator/>
      </w:r>
    </w:p>
  </w:footnote>
  <w:footnote w:type="continuationSeparator" w:id="0">
    <w:p w14:paraId="17530BE6" w14:textId="77777777" w:rsidR="004303A1" w:rsidRDefault="004303A1" w:rsidP="00A62BFF">
      <w:r>
        <w:continuationSeparator/>
      </w:r>
    </w:p>
  </w:footnote>
  <w:footnote w:type="continuationNotice" w:id="1">
    <w:p w14:paraId="4F192FC2" w14:textId="77777777" w:rsidR="004303A1" w:rsidRDefault="00430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F2726"/>
    <w:multiLevelType w:val="multilevel"/>
    <w:tmpl w:val="CE981792"/>
    <w:numStyleLink w:val="Bullets"/>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07F32"/>
    <w:multiLevelType w:val="multilevel"/>
    <w:tmpl w:val="CE981792"/>
    <w:numStyleLink w:val="Bullets"/>
  </w:abstractNum>
  <w:abstractNum w:abstractNumId="28"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5" w15:restartNumberingAfterBreak="0">
    <w:nsid w:val="6AD3657F"/>
    <w:multiLevelType w:val="multilevel"/>
    <w:tmpl w:val="CE981792"/>
    <w:numStyleLink w:val="Bullets"/>
  </w:abstractNum>
  <w:abstractNum w:abstractNumId="36"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8E4D1C"/>
    <w:multiLevelType w:val="multilevel"/>
    <w:tmpl w:val="7D7CA560"/>
    <w:numStyleLink w:val="NumberedBulletsList"/>
  </w:abstractNum>
  <w:abstractNum w:abstractNumId="39"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4"/>
  </w:num>
  <w:num w:numId="12" w16cid:durableId="450050108">
    <w:abstractNumId w:val="18"/>
  </w:num>
  <w:num w:numId="13" w16cid:durableId="427045568">
    <w:abstractNumId w:val="40"/>
  </w:num>
  <w:num w:numId="14" w16cid:durableId="351030145">
    <w:abstractNumId w:val="12"/>
  </w:num>
  <w:num w:numId="15" w16cid:durableId="419713709">
    <w:abstractNumId w:val="35"/>
  </w:num>
  <w:num w:numId="16" w16cid:durableId="1339162828">
    <w:abstractNumId w:val="38"/>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9"/>
  </w:num>
  <w:num w:numId="19" w16cid:durableId="1216563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8"/>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8"/>
  </w:num>
  <w:num w:numId="23" w16cid:durableId="914751835">
    <w:abstractNumId w:val="36"/>
  </w:num>
  <w:num w:numId="24" w16cid:durableId="269238063">
    <w:abstractNumId w:val="22"/>
  </w:num>
  <w:num w:numId="25" w16cid:durableId="48194925">
    <w:abstractNumId w:val="11"/>
  </w:num>
  <w:num w:numId="26" w16cid:durableId="237911749">
    <w:abstractNumId w:val="3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9"/>
  </w:num>
  <w:num w:numId="28" w16cid:durableId="1982036560">
    <w:abstractNumId w:val="27"/>
  </w:num>
  <w:num w:numId="29" w16cid:durableId="795679059">
    <w:abstractNumId w:val="16"/>
  </w:num>
  <w:num w:numId="30" w16cid:durableId="776801520">
    <w:abstractNumId w:val="10"/>
  </w:num>
  <w:num w:numId="31" w16cid:durableId="233004790">
    <w:abstractNumId w:val="20"/>
  </w:num>
  <w:num w:numId="32" w16cid:durableId="1849902588">
    <w:abstractNumId w:val="30"/>
  </w:num>
  <w:num w:numId="33" w16cid:durableId="1724792781">
    <w:abstractNumId w:val="32"/>
  </w:num>
  <w:num w:numId="34" w16cid:durableId="182482013">
    <w:abstractNumId w:val="25"/>
  </w:num>
  <w:num w:numId="35" w16cid:durableId="873037354">
    <w:abstractNumId w:val="19"/>
  </w:num>
  <w:num w:numId="36" w16cid:durableId="143934142">
    <w:abstractNumId w:val="33"/>
  </w:num>
  <w:num w:numId="37" w16cid:durableId="853499786">
    <w:abstractNumId w:val="37"/>
  </w:num>
  <w:num w:numId="38" w16cid:durableId="1942257626">
    <w:abstractNumId w:val="17"/>
  </w:num>
  <w:num w:numId="39" w16cid:durableId="235945216">
    <w:abstractNumId w:val="23"/>
  </w:num>
  <w:num w:numId="40" w16cid:durableId="1616717696">
    <w:abstractNumId w:val="24"/>
  </w:num>
  <w:num w:numId="41" w16cid:durableId="1838184211">
    <w:abstractNumId w:val="21"/>
  </w:num>
  <w:num w:numId="42" w16cid:durableId="537427681">
    <w:abstractNumId w:val="26"/>
  </w:num>
  <w:num w:numId="43" w16cid:durableId="14898573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02749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3"/>
  </w:num>
  <w:num w:numId="46" w16cid:durableId="1844661060">
    <w:abstractNumId w:val="28"/>
  </w:num>
  <w:num w:numId="47" w16cid:durableId="74576555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8BA"/>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622"/>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8D8"/>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3FC9"/>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8F"/>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8D8"/>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328D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328D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semiHidden/>
    <w:unhideWhenUsed/>
    <w:rsid w:val="00AB5A91"/>
  </w:style>
  <w:style w:type="character" w:customStyle="1" w:styleId="CommentTextChar">
    <w:name w:val="Comment Text Char"/>
    <w:basedOn w:val="DefaultParagraphFont"/>
    <w:link w:val="CommentText"/>
    <w:uiPriority w:val="99"/>
    <w:semiHidden/>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F05B8F"/>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F05B8F"/>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ationalenergy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rrentia.walker@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87B0D"/>
    <w:rsid w:val="00782387"/>
    <w:rsid w:val="00A47A5C"/>
    <w:rsid w:val="00B41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A9DE9E-B56C-420D-8F15-2A99CC58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Lewis</cp:lastModifiedBy>
  <cp:revision>5</cp:revision>
  <cp:lastPrinted>2020-06-01T14:47:00Z</cp:lastPrinted>
  <dcterms:created xsi:type="dcterms:W3CDTF">2024-10-28T15:13:00Z</dcterms:created>
  <dcterms:modified xsi:type="dcterms:W3CDTF">2024-10-29T16:53:00Z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