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ational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5239"/>
        <w:gridCol w:w="5239"/>
      </w:tblGrid>
      <w:tr w:rsidR="00EB3EE3" w:rsidRPr="0013039D" w14:paraId="562B5B8F" w14:textId="77777777" w:rsidTr="0013039D">
        <w:trPr>
          <w:cnfStyle w:val="100000000000" w:firstRow="1" w:lastRow="0" w:firstColumn="0" w:lastColumn="0" w:oddVBand="0" w:evenVBand="0" w:oddHBand="0" w:evenHBand="0" w:firstRowFirstColumn="0" w:firstRowLastColumn="0" w:lastRowFirstColumn="0" w:lastRowLastColumn="0"/>
        </w:trPr>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3D44650" w14:textId="77777777" w:rsidR="00EB3EE3" w:rsidRPr="0013039D" w:rsidRDefault="00EB3EE3" w:rsidP="007C066C">
            <w:pPr>
              <w:pStyle w:val="Clientaddresssalutation"/>
            </w:pPr>
          </w:p>
        </w:tc>
        <w:tc>
          <w:tcPr>
            <w:tcW w:w="52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19A5670" w14:textId="77777777" w:rsidR="00EB3EE3" w:rsidRPr="0040066F" w:rsidRDefault="006E4F00" w:rsidP="007C066C">
            <w:pPr>
              <w:pStyle w:val="Contactinformation"/>
              <w:rPr>
                <w:sz w:val="20"/>
              </w:rPr>
            </w:pPr>
            <w:r>
              <w:rPr>
                <w:sz w:val="20"/>
              </w:rPr>
              <w:t>Steve Miller</w:t>
            </w:r>
          </w:p>
          <w:p w14:paraId="68F2C553" w14:textId="77777777" w:rsidR="0040066F" w:rsidRPr="0040066F" w:rsidRDefault="006E4F00" w:rsidP="0040066F">
            <w:pPr>
              <w:pStyle w:val="BodyText"/>
              <w:jc w:val="right"/>
            </w:pPr>
            <w:r>
              <w:t>Senior Contracts Manager</w:t>
            </w:r>
          </w:p>
          <w:p w14:paraId="4488FBA9" w14:textId="77777777" w:rsidR="00EB3EE3" w:rsidRPr="0013039D" w:rsidRDefault="00772E09" w:rsidP="007C066C">
            <w:pPr>
              <w:pStyle w:val="Contactinformation"/>
            </w:pPr>
            <w:hyperlink r:id="rId8" w:history="1">
              <w:r w:rsidR="006E4F00" w:rsidRPr="00CC177E">
                <w:rPr>
                  <w:rStyle w:val="Hyperlink"/>
                </w:rPr>
                <w:t>www.nationalgrideso.com</w:t>
              </w:r>
            </w:hyperlink>
          </w:p>
        </w:tc>
      </w:tr>
      <w:tr w:rsidR="007C066C" w:rsidRPr="0013039D" w14:paraId="1CDA16F3" w14:textId="77777777" w:rsidTr="0013039D">
        <w:tc>
          <w:tcPr>
            <w:tcW w:w="5239" w:type="dxa"/>
          </w:tcPr>
          <w:p w14:paraId="58645CA2" w14:textId="77777777" w:rsidR="007C066C" w:rsidRPr="0013039D" w:rsidRDefault="007C066C" w:rsidP="007C066C">
            <w:pPr>
              <w:pStyle w:val="Clientaddresssalutation"/>
            </w:pPr>
          </w:p>
        </w:tc>
        <w:tc>
          <w:tcPr>
            <w:tcW w:w="5239" w:type="dxa"/>
          </w:tcPr>
          <w:p w14:paraId="1D428AF8" w14:textId="77777777" w:rsidR="007C066C" w:rsidRPr="0013039D" w:rsidRDefault="007C066C" w:rsidP="007C066C">
            <w:pPr>
              <w:pStyle w:val="Contactinformation"/>
            </w:pPr>
          </w:p>
        </w:tc>
      </w:tr>
    </w:tbl>
    <w:p w14:paraId="75AF2D5C" w14:textId="62E00207" w:rsidR="00A26EAD" w:rsidRDefault="00772E09" w:rsidP="007C066C">
      <w:pPr>
        <w:pStyle w:val="LetterDate"/>
      </w:pPr>
      <w:r>
        <w:t>31</w:t>
      </w:r>
      <w:r w:rsidRPr="00772E09">
        <w:rPr>
          <w:vertAlign w:val="superscript"/>
        </w:rPr>
        <w:t>st</w:t>
      </w:r>
      <w:r>
        <w:t xml:space="preserve"> </w:t>
      </w:r>
      <w:r w:rsidR="00806EA0">
        <w:t>January 202</w:t>
      </w:r>
      <w:r>
        <w:t>2</w:t>
      </w:r>
    </w:p>
    <w:p w14:paraId="5C6C0E64" w14:textId="77777777" w:rsidR="007C066C" w:rsidRPr="0013039D" w:rsidRDefault="007C066C" w:rsidP="007C066C">
      <w:pPr>
        <w:pStyle w:val="BodyText"/>
      </w:pPr>
      <w:r w:rsidRPr="0013039D">
        <w:t>Dear Sir/Madam,</w:t>
      </w:r>
    </w:p>
    <w:p w14:paraId="387108CA" w14:textId="77745D16" w:rsidR="009F7DC4" w:rsidRDefault="009F7DC4" w:rsidP="009F7DC4">
      <w:pPr>
        <w:jc w:val="both"/>
        <w:rPr>
          <w:rFonts w:ascii="Arial" w:hAnsi="Arial"/>
          <w:b/>
          <w:sz w:val="20"/>
          <w:u w:val="single"/>
        </w:rPr>
      </w:pPr>
      <w:r>
        <w:rPr>
          <w:rFonts w:ascii="Arial" w:hAnsi="Arial"/>
          <w:b/>
          <w:sz w:val="20"/>
        </w:rPr>
        <w:t>Reactive Power Invitation to Tender for Tender Round 4</w:t>
      </w:r>
      <w:r w:rsidR="00772E09">
        <w:rPr>
          <w:rFonts w:ascii="Arial" w:hAnsi="Arial"/>
          <w:b/>
          <w:sz w:val="20"/>
        </w:rPr>
        <w:t>9</w:t>
      </w:r>
    </w:p>
    <w:p w14:paraId="636B0DE3" w14:textId="77777777" w:rsidR="009F7DC4" w:rsidRDefault="009F7DC4" w:rsidP="009F7DC4">
      <w:pPr>
        <w:jc w:val="both"/>
        <w:rPr>
          <w:rFonts w:ascii="Arial" w:hAnsi="Arial"/>
          <w:sz w:val="20"/>
        </w:rPr>
      </w:pPr>
    </w:p>
    <w:p w14:paraId="1D00BBDF" w14:textId="675376DF"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 xml:space="preserve">This letter is notification of the publication of new documents on the National Grid </w:t>
      </w:r>
      <w:r w:rsidR="006E4F00" w:rsidRPr="006E4F00">
        <w:rPr>
          <w:rFonts w:ascii="Arial" w:hAnsi="Arial"/>
          <w:sz w:val="20"/>
        </w:rPr>
        <w:t xml:space="preserve">Electricity System Operator (“ESO”) </w:t>
      </w:r>
      <w:r w:rsidRPr="006E4F00">
        <w:rPr>
          <w:rFonts w:ascii="Arial" w:hAnsi="Arial"/>
          <w:sz w:val="20"/>
        </w:rPr>
        <w:t xml:space="preserve">Industry Information website relating to Reactive Power and notification of the commencement of the Reactive Power Market Tender Process </w:t>
      </w:r>
      <w:r w:rsidR="006E4F00" w:rsidRPr="006E4F00">
        <w:rPr>
          <w:rFonts w:ascii="Arial" w:hAnsi="Arial"/>
          <w:sz w:val="20"/>
        </w:rPr>
        <w:t>fo</w:t>
      </w:r>
      <w:r w:rsidR="00CD3B9B">
        <w:rPr>
          <w:rFonts w:ascii="Arial" w:hAnsi="Arial"/>
          <w:sz w:val="20"/>
        </w:rPr>
        <w:t xml:space="preserve">r contracts commencing 1 </w:t>
      </w:r>
      <w:r w:rsidR="00806EA0">
        <w:rPr>
          <w:rFonts w:ascii="Arial" w:hAnsi="Arial"/>
          <w:sz w:val="20"/>
        </w:rPr>
        <w:t xml:space="preserve">April </w:t>
      </w:r>
      <w:r w:rsidR="007F75BC">
        <w:rPr>
          <w:rFonts w:ascii="Arial" w:hAnsi="Arial"/>
          <w:sz w:val="20"/>
        </w:rPr>
        <w:t>202</w:t>
      </w:r>
      <w:r w:rsidR="00772E09">
        <w:rPr>
          <w:rFonts w:ascii="Arial" w:hAnsi="Arial"/>
          <w:sz w:val="20"/>
        </w:rPr>
        <w:t>2</w:t>
      </w:r>
      <w:r w:rsidRPr="006E4F00">
        <w:rPr>
          <w:rFonts w:ascii="Arial" w:hAnsi="Arial"/>
          <w:sz w:val="20"/>
        </w:rPr>
        <w:t xml:space="preserve"> (Tender Round 4</w:t>
      </w:r>
      <w:r w:rsidR="00772E09">
        <w:rPr>
          <w:rFonts w:ascii="Arial" w:hAnsi="Arial"/>
          <w:sz w:val="20"/>
        </w:rPr>
        <w:t>9</w:t>
      </w:r>
      <w:r w:rsidRPr="006E4F00">
        <w:rPr>
          <w:rFonts w:ascii="Arial" w:hAnsi="Arial"/>
          <w:sz w:val="20"/>
        </w:rPr>
        <w:t xml:space="preserve">). </w:t>
      </w:r>
    </w:p>
    <w:p w14:paraId="40341DE6" w14:textId="77777777" w:rsidR="009F7DC4" w:rsidRPr="006E4F00" w:rsidRDefault="009F7DC4" w:rsidP="009F7DC4">
      <w:pPr>
        <w:pStyle w:val="Header"/>
        <w:tabs>
          <w:tab w:val="left" w:pos="720"/>
        </w:tabs>
        <w:spacing w:line="0" w:lineRule="atLeast"/>
        <w:jc w:val="center"/>
        <w:rPr>
          <w:rFonts w:ascii="Arial" w:hAnsi="Arial"/>
          <w:sz w:val="20"/>
        </w:rPr>
      </w:pPr>
    </w:p>
    <w:p w14:paraId="2A6BC9C3" w14:textId="22ED6908" w:rsidR="009F7DC4" w:rsidRPr="006E4F00" w:rsidRDefault="009F7DC4" w:rsidP="009F7DC4">
      <w:pPr>
        <w:pStyle w:val="Header"/>
        <w:tabs>
          <w:tab w:val="left" w:pos="720"/>
        </w:tabs>
        <w:spacing w:line="0" w:lineRule="atLeast"/>
        <w:jc w:val="both"/>
        <w:rPr>
          <w:rFonts w:ascii="Arial" w:hAnsi="Arial"/>
          <w:sz w:val="20"/>
        </w:rPr>
      </w:pPr>
      <w:r w:rsidRPr="006E4F00">
        <w:rPr>
          <w:rFonts w:ascii="Arial" w:hAnsi="Arial"/>
          <w:sz w:val="20"/>
        </w:rPr>
        <w:t>The following documents have been published on our website and comprise the Invitation to Tender for Reactive Power Marke</w:t>
      </w:r>
      <w:r w:rsidR="006E4F00" w:rsidRPr="006E4F00">
        <w:rPr>
          <w:rFonts w:ascii="Arial" w:hAnsi="Arial"/>
          <w:sz w:val="20"/>
        </w:rPr>
        <w:t xml:space="preserve">t </w:t>
      </w:r>
      <w:r w:rsidR="00CD3B9B">
        <w:rPr>
          <w:rFonts w:ascii="Arial" w:hAnsi="Arial"/>
          <w:sz w:val="20"/>
        </w:rPr>
        <w:t xml:space="preserve">Agreements commencing 1 </w:t>
      </w:r>
      <w:r w:rsidR="00806EA0">
        <w:rPr>
          <w:rFonts w:ascii="Arial" w:hAnsi="Arial"/>
          <w:sz w:val="20"/>
        </w:rPr>
        <w:t xml:space="preserve">April </w:t>
      </w:r>
      <w:r w:rsidR="007F75BC">
        <w:rPr>
          <w:rFonts w:ascii="Arial" w:hAnsi="Arial"/>
          <w:sz w:val="20"/>
        </w:rPr>
        <w:t>202</w:t>
      </w:r>
      <w:r w:rsidR="00772E09">
        <w:rPr>
          <w:rFonts w:ascii="Arial" w:hAnsi="Arial"/>
          <w:sz w:val="20"/>
        </w:rPr>
        <w:t>2</w:t>
      </w:r>
      <w:r w:rsidRPr="006E4F00">
        <w:rPr>
          <w:rFonts w:ascii="Arial" w:hAnsi="Arial"/>
          <w:sz w:val="20"/>
        </w:rPr>
        <w:t>:</w:t>
      </w:r>
    </w:p>
    <w:p w14:paraId="04280314" w14:textId="77777777" w:rsidR="009F7DC4" w:rsidRPr="006E4F00" w:rsidRDefault="009F7DC4" w:rsidP="009F7DC4">
      <w:pPr>
        <w:pStyle w:val="Header"/>
        <w:tabs>
          <w:tab w:val="left" w:pos="720"/>
        </w:tabs>
        <w:spacing w:line="0" w:lineRule="atLeast"/>
        <w:jc w:val="both"/>
        <w:rPr>
          <w:rFonts w:ascii="Arial" w:hAnsi="Arial"/>
          <w:sz w:val="20"/>
        </w:rPr>
      </w:pPr>
    </w:p>
    <w:p w14:paraId="0E0AC373"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Invitation To Tender and Guidance Notes for the Completion of Tenders</w:t>
      </w:r>
    </w:p>
    <w:p w14:paraId="4DF8DA8F" w14:textId="77777777" w:rsidR="009F7DC4" w:rsidRPr="006E4F00" w:rsidRDefault="009F7DC4" w:rsidP="009F7DC4">
      <w:pPr>
        <w:pStyle w:val="Header"/>
        <w:numPr>
          <w:ilvl w:val="0"/>
          <w:numId w:val="21"/>
        </w:numPr>
        <w:tabs>
          <w:tab w:val="center" w:pos="4153"/>
          <w:tab w:val="right" w:pos="8306"/>
        </w:tabs>
        <w:spacing w:line="0" w:lineRule="atLeast"/>
        <w:ind w:left="720"/>
        <w:jc w:val="both"/>
        <w:rPr>
          <w:rFonts w:ascii="Arial" w:hAnsi="Arial"/>
          <w:sz w:val="20"/>
        </w:rPr>
      </w:pPr>
      <w:r w:rsidRPr="006E4F00">
        <w:rPr>
          <w:rFonts w:ascii="Arial" w:hAnsi="Arial"/>
          <w:sz w:val="20"/>
        </w:rPr>
        <w:t>Tender Sheets and Certificate of Bona Fide Tender</w:t>
      </w:r>
    </w:p>
    <w:p w14:paraId="5EE57A3C" w14:textId="77777777" w:rsidR="009F7DC4" w:rsidRPr="006E4F00" w:rsidRDefault="009F7DC4" w:rsidP="009F7DC4">
      <w:pPr>
        <w:numPr>
          <w:ilvl w:val="0"/>
          <w:numId w:val="22"/>
        </w:numPr>
        <w:spacing w:line="0" w:lineRule="atLeast"/>
        <w:ind w:left="720"/>
        <w:rPr>
          <w:rFonts w:ascii="Arial" w:hAnsi="Arial"/>
          <w:color w:val="454545" w:themeColor="text1"/>
          <w:sz w:val="20"/>
        </w:rPr>
      </w:pPr>
      <w:r w:rsidRPr="006E4F00">
        <w:rPr>
          <w:rFonts w:ascii="Arial" w:hAnsi="Arial"/>
          <w:color w:val="454545" w:themeColor="text1"/>
          <w:sz w:val="20"/>
        </w:rPr>
        <w:t>Methodology for Calculation of Reactive Power Capability Data – issue 18</w:t>
      </w:r>
    </w:p>
    <w:p w14:paraId="248F4B48" w14:textId="77777777" w:rsidR="009F7DC4" w:rsidRPr="006E4F00" w:rsidRDefault="009F7DC4" w:rsidP="009F7DC4">
      <w:pPr>
        <w:numPr>
          <w:ilvl w:val="0"/>
          <w:numId w:val="23"/>
        </w:numPr>
        <w:spacing w:line="0" w:lineRule="atLeast"/>
        <w:ind w:left="720"/>
        <w:rPr>
          <w:rFonts w:ascii="Arial" w:hAnsi="Arial"/>
          <w:color w:val="454545" w:themeColor="text1"/>
          <w:sz w:val="20"/>
        </w:rPr>
      </w:pPr>
      <w:r w:rsidRPr="006E4F00">
        <w:rPr>
          <w:rFonts w:ascii="Arial" w:hAnsi="Arial"/>
          <w:color w:val="454545" w:themeColor="text1"/>
          <w:sz w:val="20"/>
        </w:rPr>
        <w:t>Specimen Reactive Market Ancillary Services Agreement for steam plant</w:t>
      </w:r>
    </w:p>
    <w:p w14:paraId="2847C9D2" w14:textId="77777777" w:rsidR="009F7DC4" w:rsidRPr="006E4F00" w:rsidRDefault="009F7DC4" w:rsidP="009F7DC4">
      <w:pPr>
        <w:numPr>
          <w:ilvl w:val="0"/>
          <w:numId w:val="24"/>
        </w:numPr>
        <w:tabs>
          <w:tab w:val="clear" w:pos="360"/>
          <w:tab w:val="num" w:pos="720"/>
        </w:tabs>
        <w:spacing w:line="0" w:lineRule="atLeast"/>
        <w:ind w:left="720"/>
        <w:rPr>
          <w:rFonts w:ascii="Arial" w:hAnsi="Arial"/>
          <w:color w:val="454545" w:themeColor="text1"/>
          <w:sz w:val="22"/>
        </w:rPr>
      </w:pPr>
      <w:r w:rsidRPr="006E4F00">
        <w:rPr>
          <w:rFonts w:ascii="Arial" w:hAnsi="Arial"/>
          <w:color w:val="454545" w:themeColor="text1"/>
          <w:sz w:val="20"/>
        </w:rPr>
        <w:t>Specimen Reactive Market Ancillary Services Agreement for CCGT plant</w:t>
      </w:r>
    </w:p>
    <w:p w14:paraId="65164DC3" w14:textId="77777777" w:rsidR="009F7DC4" w:rsidRPr="006E4F00" w:rsidRDefault="009F7DC4" w:rsidP="009F7DC4">
      <w:pPr>
        <w:spacing w:line="0" w:lineRule="atLeast"/>
        <w:ind w:left="360"/>
        <w:rPr>
          <w:rFonts w:ascii="Arial" w:hAnsi="Arial"/>
          <w:color w:val="454545" w:themeColor="text1"/>
          <w:sz w:val="20"/>
        </w:rPr>
      </w:pPr>
    </w:p>
    <w:p w14:paraId="23B20ED4" w14:textId="7F95960F"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The Market Day for the submissio</w:t>
      </w:r>
      <w:r w:rsidR="00CD3B9B">
        <w:rPr>
          <w:rFonts w:ascii="Arial" w:hAnsi="Arial"/>
          <w:color w:val="454545" w:themeColor="text1"/>
          <w:sz w:val="20"/>
        </w:rPr>
        <w:t>n of Tenders for Tender Round 4</w:t>
      </w:r>
      <w:r w:rsidR="00772E09">
        <w:rPr>
          <w:rFonts w:ascii="Arial" w:hAnsi="Arial"/>
          <w:color w:val="454545" w:themeColor="text1"/>
          <w:sz w:val="20"/>
        </w:rPr>
        <w:t>9</w:t>
      </w:r>
      <w:r w:rsidRPr="006E4F00">
        <w:rPr>
          <w:rFonts w:ascii="Arial" w:hAnsi="Arial"/>
          <w:color w:val="454545" w:themeColor="text1"/>
          <w:sz w:val="20"/>
        </w:rPr>
        <w:t xml:space="preserve"> is 17:00 hours on</w:t>
      </w:r>
      <w:r w:rsidR="00355B04" w:rsidRPr="006E4F00">
        <w:rPr>
          <w:rFonts w:ascii="Arial" w:hAnsi="Arial"/>
          <w:color w:val="454545" w:themeColor="text1"/>
          <w:sz w:val="20"/>
        </w:rPr>
        <w:t xml:space="preserve"> 1</w:t>
      </w:r>
      <w:r w:rsidR="00772E09">
        <w:rPr>
          <w:rFonts w:ascii="Arial" w:hAnsi="Arial"/>
          <w:color w:val="454545" w:themeColor="text1"/>
          <w:sz w:val="20"/>
        </w:rPr>
        <w:t>1</w:t>
      </w:r>
      <w:r w:rsidR="007F75BC">
        <w:rPr>
          <w:rFonts w:ascii="Arial" w:hAnsi="Arial"/>
          <w:color w:val="454545" w:themeColor="text1"/>
          <w:sz w:val="20"/>
        </w:rPr>
        <w:t xml:space="preserve"> </w:t>
      </w:r>
      <w:r w:rsidR="00806EA0">
        <w:rPr>
          <w:rFonts w:ascii="Arial" w:hAnsi="Arial"/>
          <w:color w:val="454545" w:themeColor="text1"/>
          <w:sz w:val="20"/>
        </w:rPr>
        <w:t xml:space="preserve">February </w:t>
      </w:r>
      <w:r w:rsidR="007F75BC">
        <w:rPr>
          <w:rFonts w:ascii="Arial" w:hAnsi="Arial"/>
          <w:color w:val="454545" w:themeColor="text1"/>
          <w:sz w:val="20"/>
        </w:rPr>
        <w:t>202</w:t>
      </w:r>
      <w:r w:rsidR="00772E09">
        <w:rPr>
          <w:rFonts w:ascii="Arial" w:hAnsi="Arial"/>
          <w:color w:val="454545" w:themeColor="text1"/>
          <w:sz w:val="20"/>
        </w:rPr>
        <w:t>2</w:t>
      </w:r>
      <w:r w:rsidRPr="006E4F00">
        <w:rPr>
          <w:rFonts w:ascii="Arial" w:hAnsi="Arial" w:cs="Arial"/>
          <w:color w:val="454545" w:themeColor="text1"/>
          <w:sz w:val="20"/>
        </w:rPr>
        <w:t xml:space="preserve">. </w:t>
      </w:r>
      <w:r w:rsidRPr="006E4F00">
        <w:rPr>
          <w:rFonts w:ascii="Arial" w:hAnsi="Arial"/>
          <w:color w:val="454545" w:themeColor="text1"/>
          <w:sz w:val="20"/>
        </w:rPr>
        <w:t>Previous Market Reports from</w:t>
      </w:r>
      <w:r w:rsidR="006E4F00" w:rsidRPr="006E4F00">
        <w:rPr>
          <w:rFonts w:ascii="Arial" w:hAnsi="Arial"/>
          <w:color w:val="454545" w:themeColor="text1"/>
          <w:sz w:val="20"/>
        </w:rPr>
        <w:t xml:space="preserve"> earlier tender rounds are </w:t>
      </w:r>
      <w:r w:rsidRPr="006E4F00">
        <w:rPr>
          <w:rFonts w:ascii="Arial" w:hAnsi="Arial"/>
          <w:color w:val="454545" w:themeColor="text1"/>
          <w:sz w:val="20"/>
        </w:rPr>
        <w:t>available via the website.</w:t>
      </w:r>
    </w:p>
    <w:p w14:paraId="00EF9E75" w14:textId="77777777" w:rsidR="009F7DC4" w:rsidRPr="006E4F00" w:rsidRDefault="009F7DC4" w:rsidP="009F7DC4">
      <w:pPr>
        <w:jc w:val="both"/>
        <w:rPr>
          <w:rFonts w:ascii="Arial" w:hAnsi="Arial"/>
          <w:color w:val="454545" w:themeColor="text1"/>
          <w:sz w:val="20"/>
        </w:rPr>
      </w:pPr>
    </w:p>
    <w:p w14:paraId="039E8DE7" w14:textId="77777777"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Additionally, ESO</w:t>
      </w:r>
      <w:r w:rsidR="009F7DC4" w:rsidRPr="006E4F00">
        <w:rPr>
          <w:rFonts w:ascii="Arial" w:hAnsi="Arial"/>
          <w:color w:val="454545" w:themeColor="text1"/>
          <w:sz w:val="20"/>
        </w:rPr>
        <w:t xml:space="preserve"> shall potentially communicate updated forecast default payment rates, which shall be utilised for the Tender assessment, no later than one week prior to the Market Day (see Section 6 of the Guidance Notes for the Completion of Tenders for further information).  </w:t>
      </w:r>
    </w:p>
    <w:p w14:paraId="74B68E83" w14:textId="77777777" w:rsidR="009F7DC4" w:rsidRPr="006E4F00" w:rsidRDefault="009F7DC4" w:rsidP="009F7DC4">
      <w:pPr>
        <w:jc w:val="both"/>
        <w:rPr>
          <w:rFonts w:ascii="Arial" w:hAnsi="Arial"/>
          <w:color w:val="454545" w:themeColor="text1"/>
          <w:sz w:val="20"/>
        </w:rPr>
      </w:pPr>
    </w:p>
    <w:p w14:paraId="1A863AC0" w14:textId="77777777" w:rsidR="009F7DC4" w:rsidRPr="006E4F00" w:rsidRDefault="009F7DC4" w:rsidP="009F7DC4">
      <w:pPr>
        <w:autoSpaceDE w:val="0"/>
        <w:autoSpaceDN w:val="0"/>
        <w:adjustRightInd w:val="0"/>
        <w:rPr>
          <w:rFonts w:ascii="Arial" w:hAnsi="Arial" w:cs="Helvetica"/>
          <w:color w:val="454545" w:themeColor="text1"/>
          <w:sz w:val="20"/>
          <w:szCs w:val="20"/>
        </w:rPr>
      </w:pPr>
      <w:r w:rsidRPr="006E4F00">
        <w:rPr>
          <w:rFonts w:ascii="Arial" w:hAnsi="Arial" w:cs="Helvetica"/>
          <w:color w:val="454545" w:themeColor="text1"/>
          <w:sz w:val="20"/>
          <w:szCs w:val="20"/>
        </w:rPr>
        <w:t>Potential providers who may be interested in tendering are as follows:</w:t>
      </w:r>
    </w:p>
    <w:p w14:paraId="2A88956B" w14:textId="77777777" w:rsidR="009F7DC4" w:rsidRPr="006E4F00" w:rsidRDefault="009F7DC4" w:rsidP="009F7DC4">
      <w:pPr>
        <w:rPr>
          <w:rFonts w:ascii="Arial" w:hAnsi="Arial" w:cs="Arial"/>
          <w:color w:val="454545" w:themeColor="text1"/>
          <w:sz w:val="20"/>
          <w:szCs w:val="20"/>
        </w:rPr>
      </w:pPr>
    </w:p>
    <w:p w14:paraId="54D8F027"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Generators required to provide the minimum Grid Code Obligatory Reactive Power Service (ORPS) and already in receipt of the Default Payment Mechanism, may wish to tender for alternative payment terms (i.e. capability and utilisation payments).</w:t>
      </w:r>
    </w:p>
    <w:p w14:paraId="2181F08C" w14:textId="77777777" w:rsidR="009F7DC4" w:rsidRPr="006E4F00" w:rsidRDefault="009F7DC4" w:rsidP="009F7DC4">
      <w:pPr>
        <w:numPr>
          <w:ilvl w:val="0"/>
          <w:numId w:val="25"/>
        </w:numPr>
        <w:autoSpaceDE w:val="0"/>
        <w:autoSpaceDN w:val="0"/>
        <w:adjustRightInd w:val="0"/>
        <w:jc w:val="both"/>
        <w:rPr>
          <w:rFonts w:ascii="Arial" w:hAnsi="Arial" w:cs="Helvetica"/>
          <w:color w:val="454545" w:themeColor="text1"/>
          <w:sz w:val="20"/>
          <w:szCs w:val="20"/>
        </w:rPr>
      </w:pPr>
      <w:r w:rsidRPr="006E4F00">
        <w:rPr>
          <w:rFonts w:ascii="Arial" w:hAnsi="Arial" w:cs="Helvetica"/>
          <w:color w:val="454545" w:themeColor="text1"/>
          <w:sz w:val="20"/>
          <w:szCs w:val="20"/>
        </w:rPr>
        <w:t xml:space="preserve">Generators that have a reactive capability in excess of the minimum Grid Code ORPS, known as the "Grid Code Plus Enhanced Reactive Power Service" (Grid Code ERPS). </w:t>
      </w:r>
    </w:p>
    <w:p w14:paraId="10F5DF50" w14:textId="77777777" w:rsidR="009F7DC4" w:rsidRPr="006E4F00" w:rsidRDefault="009F7DC4" w:rsidP="009F7DC4">
      <w:pPr>
        <w:numPr>
          <w:ilvl w:val="0"/>
          <w:numId w:val="25"/>
        </w:numPr>
        <w:autoSpaceDE w:val="0"/>
        <w:autoSpaceDN w:val="0"/>
        <w:adjustRightInd w:val="0"/>
        <w:jc w:val="both"/>
        <w:rPr>
          <w:rFonts w:ascii="Arial" w:hAnsi="Arial" w:cs="Symbol"/>
          <w:color w:val="454545" w:themeColor="text1"/>
          <w:sz w:val="20"/>
          <w:szCs w:val="20"/>
        </w:rPr>
      </w:pPr>
      <w:r w:rsidRPr="006E4F00">
        <w:rPr>
          <w:rFonts w:ascii="Arial" w:hAnsi="Arial" w:cs="Helvetica"/>
          <w:color w:val="454545" w:themeColor="text1"/>
          <w:sz w:val="20"/>
          <w:szCs w:val="20"/>
        </w:rPr>
        <w:t>Any other eligible Service Provider able to offer other plant or apparatus that could generate or absorb Reactive Power, known as the Enhanced Reactive Power Service (ERPS). These Service Providers must fulfil the market qualification criteria and be capable of making their capability av</w:t>
      </w:r>
      <w:r w:rsidR="006E4F00" w:rsidRPr="006E4F00">
        <w:rPr>
          <w:rFonts w:ascii="Arial" w:hAnsi="Arial" w:cs="Helvetica"/>
          <w:color w:val="454545" w:themeColor="text1"/>
          <w:sz w:val="20"/>
          <w:szCs w:val="20"/>
        </w:rPr>
        <w:t>ailable for use by ESO</w:t>
      </w:r>
      <w:r w:rsidRPr="006E4F00">
        <w:rPr>
          <w:rFonts w:ascii="Arial" w:hAnsi="Arial" w:cs="Helvetica"/>
          <w:color w:val="454545" w:themeColor="text1"/>
          <w:sz w:val="20"/>
          <w:szCs w:val="20"/>
        </w:rPr>
        <w:t>.</w:t>
      </w:r>
    </w:p>
    <w:p w14:paraId="4384B93C" w14:textId="77777777" w:rsidR="009F7DC4" w:rsidRPr="006E4F00" w:rsidRDefault="009F7DC4" w:rsidP="009F7DC4">
      <w:pPr>
        <w:jc w:val="both"/>
        <w:rPr>
          <w:rFonts w:ascii="Arial" w:hAnsi="Arial"/>
          <w:color w:val="454545" w:themeColor="text1"/>
          <w:sz w:val="20"/>
        </w:rPr>
      </w:pPr>
    </w:p>
    <w:p w14:paraId="55C2FCFA" w14:textId="77777777" w:rsidR="009F7DC4" w:rsidRPr="006E4F00" w:rsidRDefault="009F7DC4" w:rsidP="009F7DC4">
      <w:pPr>
        <w:jc w:val="both"/>
        <w:rPr>
          <w:rFonts w:ascii="Arial" w:hAnsi="Arial" w:cs="Arial"/>
          <w:color w:val="454545" w:themeColor="text1"/>
          <w:sz w:val="20"/>
          <w:szCs w:val="20"/>
        </w:rPr>
      </w:pPr>
      <w:r w:rsidRPr="006E4F00">
        <w:rPr>
          <w:rFonts w:ascii="Arial" w:hAnsi="Arial" w:cs="Arial"/>
          <w:color w:val="454545" w:themeColor="text1"/>
          <w:sz w:val="20"/>
          <w:szCs w:val="20"/>
        </w:rPr>
        <w:t>Following the implementation of CAP169, which brought the CUSC up to da</w:t>
      </w:r>
      <w:r w:rsidR="00432D76">
        <w:rPr>
          <w:rFonts w:ascii="Arial" w:hAnsi="Arial" w:cs="Arial"/>
          <w:color w:val="454545" w:themeColor="text1"/>
          <w:sz w:val="20"/>
          <w:szCs w:val="20"/>
        </w:rPr>
        <w:t>te with recent changes to the O</w:t>
      </w:r>
      <w:r w:rsidRPr="006E4F00">
        <w:rPr>
          <w:rFonts w:ascii="Arial" w:hAnsi="Arial" w:cs="Arial"/>
          <w:color w:val="454545" w:themeColor="text1"/>
          <w:sz w:val="20"/>
          <w:szCs w:val="20"/>
        </w:rPr>
        <w:t>R</w:t>
      </w:r>
      <w:r w:rsidR="00432D76">
        <w:rPr>
          <w:rFonts w:ascii="Arial" w:hAnsi="Arial" w:cs="Arial"/>
          <w:color w:val="454545" w:themeColor="text1"/>
          <w:sz w:val="20"/>
          <w:szCs w:val="20"/>
        </w:rPr>
        <w:t>P</w:t>
      </w:r>
      <w:r w:rsidRPr="006E4F00">
        <w:rPr>
          <w:rFonts w:ascii="Arial" w:hAnsi="Arial" w:cs="Arial"/>
          <w:color w:val="454545" w:themeColor="text1"/>
          <w:sz w:val="20"/>
          <w:szCs w:val="20"/>
        </w:rPr>
        <w:t xml:space="preserve">S requirements in the Grid Code, the Default Payment Mechanism has now been extended to Power Park Modules, DC Converters and Large Power Stations with a reactive capability below 15 </w:t>
      </w:r>
      <w:proofErr w:type="spellStart"/>
      <w:r w:rsidRPr="006E4F00">
        <w:rPr>
          <w:rFonts w:ascii="Arial" w:hAnsi="Arial" w:cs="Arial"/>
          <w:color w:val="454545" w:themeColor="text1"/>
          <w:sz w:val="20"/>
          <w:szCs w:val="20"/>
        </w:rPr>
        <w:t>Mvars</w:t>
      </w:r>
      <w:proofErr w:type="spellEnd"/>
      <w:r w:rsidRPr="006E4F00">
        <w:rPr>
          <w:rFonts w:ascii="Arial" w:hAnsi="Arial" w:cs="Arial"/>
          <w:color w:val="454545" w:themeColor="text1"/>
          <w:sz w:val="20"/>
          <w:szCs w:val="20"/>
        </w:rPr>
        <w:t xml:space="preserve">.  In consequence, subject to making the necessary amendments to relevant Mandatory Services Agreements to facilitate the Default Payment Mechanism, tenders from such Plant and Apparatus are now eligible to participate in the Reactive Power Market Tender Process.  </w:t>
      </w:r>
    </w:p>
    <w:p w14:paraId="346FD5EB" w14:textId="77777777" w:rsidR="009F7DC4" w:rsidRPr="006E4F00" w:rsidRDefault="009F7DC4" w:rsidP="009F7DC4">
      <w:pPr>
        <w:jc w:val="both"/>
        <w:rPr>
          <w:rFonts w:ascii="Arial" w:hAnsi="Arial" w:cs="Arial"/>
          <w:color w:val="454545" w:themeColor="text1"/>
          <w:sz w:val="20"/>
          <w:szCs w:val="20"/>
        </w:rPr>
      </w:pPr>
    </w:p>
    <w:p w14:paraId="416E5CB5" w14:textId="77777777" w:rsidR="009F7DC4" w:rsidRDefault="009F7DC4" w:rsidP="009F7DC4">
      <w:pPr>
        <w:jc w:val="both"/>
      </w:pPr>
      <w:r w:rsidRPr="006E4F00">
        <w:rPr>
          <w:rFonts w:ascii="Arial" w:hAnsi="Arial" w:cs="Arial"/>
          <w:color w:val="454545" w:themeColor="text1"/>
          <w:sz w:val="20"/>
          <w:szCs w:val="20"/>
        </w:rPr>
        <w:t xml:space="preserve">Further information on ERPS can also be found on National Grid’s industry website </w:t>
      </w:r>
    </w:p>
    <w:p w14:paraId="41E75868" w14:textId="77777777" w:rsidR="00432D76" w:rsidRPr="006E4F00" w:rsidRDefault="00772E09" w:rsidP="009F7DC4">
      <w:pPr>
        <w:jc w:val="both"/>
        <w:rPr>
          <w:rFonts w:ascii="Arial" w:hAnsi="Arial" w:cs="Arial"/>
          <w:color w:val="454545" w:themeColor="text1"/>
          <w:sz w:val="20"/>
          <w:szCs w:val="20"/>
        </w:rPr>
      </w:pPr>
      <w:hyperlink r:id="rId9" w:history="1">
        <w:r w:rsidR="00432D76">
          <w:rPr>
            <w:rStyle w:val="Hyperlink"/>
          </w:rPr>
          <w:t>https://www.nationalgrideso.com/balancing-services/react</w:t>
        </w:r>
        <w:r w:rsidR="00432D76">
          <w:rPr>
            <w:rStyle w:val="Hyperlink"/>
          </w:rPr>
          <w:t>i</w:t>
        </w:r>
        <w:r w:rsidR="00432D76">
          <w:rPr>
            <w:rStyle w:val="Hyperlink"/>
          </w:rPr>
          <w:t>ve-power-services/enhanced-reactive-power-service-erps?overview</w:t>
        </w:r>
      </w:hyperlink>
    </w:p>
    <w:p w14:paraId="633760A6" w14:textId="77777777" w:rsidR="009F7DC4" w:rsidRPr="006E4F00" w:rsidRDefault="009F7DC4" w:rsidP="009F7DC4">
      <w:pPr>
        <w:jc w:val="both"/>
        <w:rPr>
          <w:rFonts w:ascii="Arial" w:hAnsi="Arial"/>
          <w:color w:val="454545" w:themeColor="text1"/>
          <w:sz w:val="20"/>
        </w:rPr>
      </w:pPr>
    </w:p>
    <w:p w14:paraId="5E83BC76" w14:textId="77777777" w:rsidR="009F7DC4" w:rsidRPr="006E4F00" w:rsidRDefault="009F7DC4" w:rsidP="009F7DC4">
      <w:pPr>
        <w:jc w:val="both"/>
        <w:rPr>
          <w:rFonts w:ascii="Arial" w:hAnsi="Arial"/>
          <w:color w:val="454545" w:themeColor="text1"/>
          <w:sz w:val="20"/>
        </w:rPr>
      </w:pPr>
      <w:r w:rsidRPr="006E4F00">
        <w:rPr>
          <w:rFonts w:ascii="Arial" w:hAnsi="Arial"/>
          <w:color w:val="454545" w:themeColor="text1"/>
          <w:sz w:val="20"/>
        </w:rPr>
        <w:t xml:space="preserve">If you require a paper copy of any of the documents mentioned in this letter please contact </w:t>
      </w:r>
    </w:p>
    <w:p w14:paraId="7EE1D3E1" w14:textId="77777777"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lastRenderedPageBreak/>
        <w:t>Steve Miller</w:t>
      </w:r>
      <w:r w:rsidR="009F7DC4" w:rsidRPr="006E4F00">
        <w:rPr>
          <w:rFonts w:ascii="Arial" w:hAnsi="Arial"/>
          <w:color w:val="454545" w:themeColor="text1"/>
          <w:sz w:val="20"/>
        </w:rPr>
        <w:t xml:space="preserve">. </w:t>
      </w:r>
    </w:p>
    <w:p w14:paraId="388A56D9" w14:textId="77777777" w:rsidR="009F7DC4" w:rsidRPr="006E4F00" w:rsidRDefault="006E4F00" w:rsidP="009F7DC4">
      <w:pPr>
        <w:jc w:val="both"/>
        <w:rPr>
          <w:rFonts w:ascii="Arial" w:hAnsi="Arial"/>
          <w:color w:val="454545" w:themeColor="text1"/>
          <w:sz w:val="20"/>
        </w:rPr>
      </w:pPr>
      <w:r w:rsidRPr="006E4F00">
        <w:rPr>
          <w:rFonts w:ascii="Arial" w:hAnsi="Arial"/>
          <w:color w:val="454545" w:themeColor="text1"/>
          <w:sz w:val="20"/>
        </w:rPr>
        <w:t>Steve.k.miller@nationalgrideso.com</w:t>
      </w:r>
    </w:p>
    <w:p w14:paraId="2E32A344" w14:textId="77777777" w:rsidR="009F7DC4" w:rsidRPr="006E4F00" w:rsidRDefault="009F7DC4" w:rsidP="00A27011">
      <w:pPr>
        <w:pStyle w:val="BodyText"/>
        <w:rPr>
          <w:b/>
        </w:rPr>
      </w:pPr>
    </w:p>
    <w:p w14:paraId="67AE38C6" w14:textId="77777777" w:rsidR="00A27011" w:rsidRPr="006E4F00" w:rsidRDefault="00A27011" w:rsidP="00A27011">
      <w:pPr>
        <w:pStyle w:val="BodyText"/>
      </w:pPr>
      <w:r w:rsidRPr="006E4F00">
        <w:t>Yours sincerely</w:t>
      </w:r>
    </w:p>
    <w:p w14:paraId="21C4F24D" w14:textId="77777777" w:rsidR="00A27011" w:rsidRPr="006E4F00" w:rsidRDefault="00A27011" w:rsidP="00A27011">
      <w:pPr>
        <w:pStyle w:val="LetterTitle"/>
      </w:pPr>
    </w:p>
    <w:p w14:paraId="1B903CCE" w14:textId="77777777" w:rsidR="00A27011" w:rsidRPr="006E4F00" w:rsidRDefault="006E4F00" w:rsidP="00A27011">
      <w:pPr>
        <w:pStyle w:val="LetterTitle"/>
      </w:pPr>
      <w:r w:rsidRPr="006E4F00">
        <w:t>Steve Miller</w:t>
      </w:r>
    </w:p>
    <w:p w14:paraId="07797398" w14:textId="77777777" w:rsidR="005778F2" w:rsidRPr="0013039D" w:rsidRDefault="005778F2" w:rsidP="00A27011">
      <w:pPr>
        <w:pStyle w:val="BodyText"/>
      </w:pPr>
    </w:p>
    <w:sectPr w:rsidR="005778F2" w:rsidRPr="0013039D" w:rsidSect="006E5CA6">
      <w:footerReference w:type="default" r:id="rId10"/>
      <w:headerReference w:type="first" r:id="rId11"/>
      <w:footerReference w:type="first" r:id="rId12"/>
      <w:pgSz w:w="11906" w:h="16838" w:code="9"/>
      <w:pgMar w:top="2608" w:right="709" w:bottom="1531" w:left="709"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D3E93" w14:textId="77777777" w:rsidR="007D1D02" w:rsidRDefault="007D1D02" w:rsidP="00A62BFF">
      <w:r>
        <w:separator/>
      </w:r>
    </w:p>
  </w:endnote>
  <w:endnote w:type="continuationSeparator" w:id="0">
    <w:p w14:paraId="16A9DA06" w14:textId="77777777" w:rsidR="007D1D02" w:rsidRDefault="007D1D02" w:rsidP="00A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74A25B2B" w14:textId="77777777" w:rsidTr="00B26D29">
      <w:tc>
        <w:tcPr>
          <w:tcW w:w="8789" w:type="dxa"/>
          <w:vAlign w:val="bottom"/>
        </w:tcPr>
        <w:p w14:paraId="4C489020" w14:textId="77777777" w:rsidR="00B26D29" w:rsidRDefault="00B26D29" w:rsidP="00DD2F95">
          <w:pPr>
            <w:pStyle w:val="Footer"/>
          </w:pPr>
        </w:p>
      </w:tc>
      <w:tc>
        <w:tcPr>
          <w:tcW w:w="1699" w:type="dxa"/>
          <w:vAlign w:val="bottom"/>
        </w:tcPr>
        <w:p w14:paraId="16CDEA4D" w14:textId="77777777" w:rsidR="00B26D29" w:rsidRDefault="00B26D29" w:rsidP="00B17C6A">
          <w:pPr>
            <w:pStyle w:val="Footer"/>
            <w:jc w:val="right"/>
          </w:pPr>
          <w:r>
            <w:rPr>
              <w:noProof w:val="0"/>
            </w:rPr>
            <w:fldChar w:fldCharType="begin"/>
          </w:r>
          <w:r>
            <w:instrText xml:space="preserve"> PAGE   \* MERGEFORMAT </w:instrText>
          </w:r>
          <w:r>
            <w:rPr>
              <w:noProof w:val="0"/>
            </w:rPr>
            <w:fldChar w:fldCharType="separate"/>
          </w:r>
          <w:r w:rsidR="00432D76">
            <w:t>2</w:t>
          </w:r>
          <w:r>
            <w:fldChar w:fldCharType="end"/>
          </w:r>
        </w:p>
      </w:tc>
    </w:tr>
  </w:tbl>
  <w:p w14:paraId="1390809A" w14:textId="77777777" w:rsidR="00B26D29" w:rsidRDefault="00B26D29"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26D29" w14:paraId="5B6379CD" w14:textId="77777777" w:rsidTr="00B17C6A">
      <w:tc>
        <w:tcPr>
          <w:tcW w:w="8789" w:type="dxa"/>
          <w:vAlign w:val="bottom"/>
        </w:tcPr>
        <w:p w14:paraId="42346E7B" w14:textId="77777777" w:rsidR="00B26D29" w:rsidRDefault="00B26D29" w:rsidP="0029281D">
          <w:pPr>
            <w:pStyle w:val="Disclaimer"/>
          </w:pPr>
        </w:p>
      </w:tc>
      <w:tc>
        <w:tcPr>
          <w:tcW w:w="1699" w:type="dxa"/>
          <w:vAlign w:val="bottom"/>
        </w:tcPr>
        <w:p w14:paraId="707F36BA" w14:textId="77777777" w:rsidR="00B26D29" w:rsidRDefault="00B26D29" w:rsidP="00B03EE4">
          <w:pPr>
            <w:pStyle w:val="Footer"/>
            <w:jc w:val="right"/>
          </w:pPr>
          <w:r>
            <w:rPr>
              <w:noProof w:val="0"/>
            </w:rPr>
            <w:fldChar w:fldCharType="begin"/>
          </w:r>
          <w:r>
            <w:instrText xml:space="preserve"> PAGE   \* MERGEFORMAT </w:instrText>
          </w:r>
          <w:r>
            <w:rPr>
              <w:noProof w:val="0"/>
            </w:rPr>
            <w:fldChar w:fldCharType="separate"/>
          </w:r>
          <w:r w:rsidR="00432D76">
            <w:t>1</w:t>
          </w:r>
          <w:r>
            <w:fldChar w:fldCharType="end"/>
          </w:r>
        </w:p>
      </w:tc>
    </w:tr>
  </w:tbl>
  <w:p w14:paraId="12448D9C" w14:textId="77777777" w:rsidR="00B26D29" w:rsidRDefault="00B26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45001" w14:textId="77777777" w:rsidR="007D1D02" w:rsidRDefault="007D1D02" w:rsidP="00A62BFF">
      <w:r>
        <w:separator/>
      </w:r>
    </w:p>
  </w:footnote>
  <w:footnote w:type="continuationSeparator" w:id="0">
    <w:p w14:paraId="71D38CBF" w14:textId="77777777" w:rsidR="007D1D02" w:rsidRDefault="007D1D02" w:rsidP="00A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4A0" w:firstRow="1" w:lastRow="0" w:firstColumn="1" w:lastColumn="0" w:noHBand="0" w:noVBand="1"/>
    </w:tblPr>
    <w:tblGrid>
      <w:gridCol w:w="5239"/>
      <w:gridCol w:w="5239"/>
    </w:tblGrid>
    <w:tr w:rsidR="0013039D" w:rsidRPr="0013039D" w14:paraId="1DFBCC77" w14:textId="77777777" w:rsidTr="0013039D">
      <w:tc>
        <w:tcPr>
          <w:tcW w:w="5239" w:type="dxa"/>
        </w:tcPr>
        <w:p w14:paraId="52FF3BDE" w14:textId="77777777" w:rsidR="00025C82" w:rsidRDefault="0013039D" w:rsidP="0013039D">
          <w:pPr>
            <w:pStyle w:val="Companyinfo"/>
          </w:pPr>
          <w:r w:rsidRPr="0013039D">
            <w:t>National Grid ESO</w:t>
          </w:r>
        </w:p>
        <w:p w14:paraId="24A8A71D" w14:textId="77777777" w:rsidR="0013039D" w:rsidRPr="0013039D" w:rsidRDefault="0013039D" w:rsidP="0013039D">
          <w:pPr>
            <w:pStyle w:val="Companyinfo"/>
          </w:pPr>
          <w:r w:rsidRPr="0013039D">
            <w:t>Faraday House, Gallows Hill</w:t>
          </w:r>
        </w:p>
        <w:p w14:paraId="751FD9DA" w14:textId="77777777" w:rsidR="0013039D" w:rsidRPr="0013039D" w:rsidRDefault="0013039D" w:rsidP="0013039D">
          <w:pPr>
            <w:pStyle w:val="Companyinfo"/>
          </w:pPr>
          <w:r w:rsidRPr="0013039D">
            <w:t>Warwick, CV34 6DA</w:t>
          </w:r>
        </w:p>
      </w:tc>
      <w:tc>
        <w:tcPr>
          <w:tcW w:w="5239" w:type="dxa"/>
        </w:tcPr>
        <w:p w14:paraId="61F563A0" w14:textId="77777777" w:rsidR="0013039D" w:rsidRPr="0013039D" w:rsidRDefault="00264AF9" w:rsidP="0013039D">
          <w:pPr>
            <w:pStyle w:val="Companyinfo"/>
            <w:jc w:val="right"/>
          </w:pPr>
          <w:r w:rsidRPr="00D335F9">
            <w:rPr>
              <w:noProof/>
              <w:lang w:eastAsia="en-GB"/>
            </w:rPr>
            <w:drawing>
              <wp:inline distT="0" distB="0" distL="0" distR="0" wp14:anchorId="1734B146" wp14:editId="5B8181F3">
                <wp:extent cx="2052000" cy="306000"/>
                <wp:effectExtent l="0" t="0" r="5715" b="0"/>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inline>
            </w:drawing>
          </w:r>
        </w:p>
      </w:tc>
    </w:tr>
  </w:tbl>
  <w:p w14:paraId="5FDFB4D0" w14:textId="77777777" w:rsidR="0013039D" w:rsidRPr="0013039D" w:rsidRDefault="0013039D" w:rsidP="0013039D">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16F47BC"/>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3" w15:restartNumberingAfterBreak="0">
    <w:nsid w:val="228D2930"/>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4" w15:restartNumberingAfterBreak="0">
    <w:nsid w:val="2BF351AA"/>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2DE908F7"/>
    <w:multiLevelType w:val="singleLevel"/>
    <w:tmpl w:val="E7FA2444"/>
    <w:lvl w:ilvl="0">
      <w:start w:val="1"/>
      <w:numFmt w:val="bullet"/>
      <w:lvlText w:val=""/>
      <w:lvlJc w:val="left"/>
      <w:pPr>
        <w:tabs>
          <w:tab w:val="num" w:pos="360"/>
        </w:tabs>
        <w:ind w:left="360" w:hanging="360"/>
      </w:pPr>
      <w:rPr>
        <w:rFonts w:ascii="Symbol" w:hAnsi="Symbol" w:hint="default"/>
        <w:color w:val="auto"/>
      </w:rPr>
    </w:lvl>
  </w:abstractNum>
  <w:abstractNum w:abstractNumId="16"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6A11F2"/>
    <w:multiLevelType w:val="hybridMultilevel"/>
    <w:tmpl w:val="4094DB7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78E4D1C"/>
    <w:multiLevelType w:val="multilevel"/>
    <w:tmpl w:val="7D7CA560"/>
    <w:numStyleLink w:val="NumberedBulletsList"/>
  </w:abstractNum>
  <w:abstractNum w:abstractNumId="2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22"/>
  </w:num>
  <w:num w:numId="14">
    <w:abstractNumId w:val="10"/>
  </w:num>
  <w:num w:numId="15">
    <w:abstractNumId w:val="20"/>
  </w:num>
  <w:num w:numId="16">
    <w:abstractNumId w:val="21"/>
  </w:num>
  <w:num w:numId="17">
    <w:abstractNumId w:val="11"/>
  </w:num>
  <w:num w:numId="18">
    <w:abstractNumId w:val="18"/>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14"/>
  </w:num>
  <w:num w:numId="24">
    <w:abstractNumId w:val="15"/>
  </w:num>
  <w:num w:numId="25">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A8"/>
    <w:rsid w:val="0000092C"/>
    <w:rsid w:val="000017C7"/>
    <w:rsid w:val="00007028"/>
    <w:rsid w:val="00011992"/>
    <w:rsid w:val="00013752"/>
    <w:rsid w:val="00015A2A"/>
    <w:rsid w:val="00021319"/>
    <w:rsid w:val="000213BA"/>
    <w:rsid w:val="000218CE"/>
    <w:rsid w:val="00022819"/>
    <w:rsid w:val="00022B39"/>
    <w:rsid w:val="0002463D"/>
    <w:rsid w:val="000246B0"/>
    <w:rsid w:val="00025C82"/>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578DE"/>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39D"/>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3A3"/>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6B69"/>
    <w:rsid w:val="001E74F3"/>
    <w:rsid w:val="001E7752"/>
    <w:rsid w:val="001F04C9"/>
    <w:rsid w:val="001F101E"/>
    <w:rsid w:val="001F1748"/>
    <w:rsid w:val="001F2EF2"/>
    <w:rsid w:val="001F3A37"/>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64AF9"/>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E15"/>
    <w:rsid w:val="002E25CB"/>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5B04"/>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66F"/>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2D76"/>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0C46"/>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8F2"/>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26"/>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13F9"/>
    <w:rsid w:val="006B53A9"/>
    <w:rsid w:val="006B573D"/>
    <w:rsid w:val="006B675C"/>
    <w:rsid w:val="006B69AD"/>
    <w:rsid w:val="006B74A5"/>
    <w:rsid w:val="006B7567"/>
    <w:rsid w:val="006C0325"/>
    <w:rsid w:val="006C1CD5"/>
    <w:rsid w:val="006C2B51"/>
    <w:rsid w:val="006C347F"/>
    <w:rsid w:val="006C34E5"/>
    <w:rsid w:val="006C365B"/>
    <w:rsid w:val="006C42A1"/>
    <w:rsid w:val="006D4427"/>
    <w:rsid w:val="006D4919"/>
    <w:rsid w:val="006D6073"/>
    <w:rsid w:val="006D6266"/>
    <w:rsid w:val="006E055E"/>
    <w:rsid w:val="006E0E6C"/>
    <w:rsid w:val="006E1030"/>
    <w:rsid w:val="006E4F00"/>
    <w:rsid w:val="006E5041"/>
    <w:rsid w:val="006E5CA6"/>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26158"/>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2E09"/>
    <w:rsid w:val="00773A6C"/>
    <w:rsid w:val="007742FE"/>
    <w:rsid w:val="00774DFB"/>
    <w:rsid w:val="0077660A"/>
    <w:rsid w:val="00776CDB"/>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4E3C"/>
    <w:rsid w:val="00795852"/>
    <w:rsid w:val="00796904"/>
    <w:rsid w:val="00797132"/>
    <w:rsid w:val="007972F3"/>
    <w:rsid w:val="00797605"/>
    <w:rsid w:val="00797950"/>
    <w:rsid w:val="007A0004"/>
    <w:rsid w:val="007A0294"/>
    <w:rsid w:val="007A0D9D"/>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66C"/>
    <w:rsid w:val="007C07F2"/>
    <w:rsid w:val="007C2500"/>
    <w:rsid w:val="007C4D8A"/>
    <w:rsid w:val="007C51CD"/>
    <w:rsid w:val="007D025A"/>
    <w:rsid w:val="007D0F6C"/>
    <w:rsid w:val="007D1D02"/>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7F75BC"/>
    <w:rsid w:val="00801E7C"/>
    <w:rsid w:val="008040A5"/>
    <w:rsid w:val="00804C27"/>
    <w:rsid w:val="00804F2C"/>
    <w:rsid w:val="00805FAF"/>
    <w:rsid w:val="008060A0"/>
    <w:rsid w:val="00806C71"/>
    <w:rsid w:val="00806EA0"/>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313C"/>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3085"/>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47"/>
    <w:rsid w:val="009C34E8"/>
    <w:rsid w:val="009C44D0"/>
    <w:rsid w:val="009C4983"/>
    <w:rsid w:val="009C4E4E"/>
    <w:rsid w:val="009C4EF5"/>
    <w:rsid w:val="009C5B29"/>
    <w:rsid w:val="009C621C"/>
    <w:rsid w:val="009C7EDF"/>
    <w:rsid w:val="009D063C"/>
    <w:rsid w:val="009D29E9"/>
    <w:rsid w:val="009D3DB6"/>
    <w:rsid w:val="009D4FA1"/>
    <w:rsid w:val="009D6525"/>
    <w:rsid w:val="009D6762"/>
    <w:rsid w:val="009D76F3"/>
    <w:rsid w:val="009E1F2D"/>
    <w:rsid w:val="009E23AE"/>
    <w:rsid w:val="009E2FBC"/>
    <w:rsid w:val="009E40C0"/>
    <w:rsid w:val="009E40C8"/>
    <w:rsid w:val="009F073A"/>
    <w:rsid w:val="009F3A22"/>
    <w:rsid w:val="009F4258"/>
    <w:rsid w:val="009F49DA"/>
    <w:rsid w:val="009F5202"/>
    <w:rsid w:val="009F55E1"/>
    <w:rsid w:val="009F6BC2"/>
    <w:rsid w:val="009F6F95"/>
    <w:rsid w:val="009F769B"/>
    <w:rsid w:val="009F7DC4"/>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6EAD"/>
    <w:rsid w:val="00A27011"/>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3692"/>
    <w:rsid w:val="00AA640B"/>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060A"/>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2A8"/>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3B9B"/>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548D8"/>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555"/>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DF7557"/>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43F2"/>
    <w:rsid w:val="00EA5402"/>
    <w:rsid w:val="00EA5950"/>
    <w:rsid w:val="00EA660C"/>
    <w:rsid w:val="00EA6CF6"/>
    <w:rsid w:val="00EA79DA"/>
    <w:rsid w:val="00EA7B24"/>
    <w:rsid w:val="00EB2129"/>
    <w:rsid w:val="00EB2266"/>
    <w:rsid w:val="00EB3EE3"/>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5E55"/>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1CE"/>
    <w:rsid w:val="00F768CC"/>
    <w:rsid w:val="00F76E6E"/>
    <w:rsid w:val="00F771F6"/>
    <w:rsid w:val="00F777FC"/>
    <w:rsid w:val="00F779AA"/>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B52"/>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3670621"/>
  <w15:docId w15:val="{94D244C6-B248-4A91-822F-83707F7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52"/>
    <w:pPr>
      <w:spacing w:after="0"/>
    </w:pPr>
    <w:rPr>
      <w:rFonts w:ascii="Times New Roman" w:eastAsia="Times New Roman" w:hAnsi="Times New Roman" w:cs="Times New Roman"/>
      <w:sz w:val="24"/>
      <w:szCs w:val="24"/>
      <w:lang w:val="en-GB"/>
    </w:rPr>
  </w:style>
  <w:style w:type="paragraph" w:styleId="Heading1">
    <w:name w:val="heading 1"/>
    <w:basedOn w:val="Normal"/>
    <w:next w:val="BodyText"/>
    <w:link w:val="Heading1Char"/>
    <w:uiPriority w:val="4"/>
    <w:qFormat/>
    <w:rsid w:val="00EE7662"/>
    <w:pPr>
      <w:keepNext/>
      <w:keepLines/>
      <w:spacing w:before="240" w:after="120"/>
      <w:outlineLvl w:val="0"/>
    </w:pPr>
    <w:rPr>
      <w:rFonts w:asciiTheme="minorHAnsi" w:eastAsiaTheme="majorEastAsia" w:hAnsiTheme="minorHAnsi"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after="120"/>
      <w:outlineLvl w:val="1"/>
    </w:pPr>
    <w:rPr>
      <w:rFonts w:asciiTheme="minorHAnsi" w:eastAsiaTheme="majorEastAsia" w:hAnsiTheme="minorHAnsi"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after="120"/>
      <w:outlineLvl w:val="2"/>
    </w:pPr>
    <w:rPr>
      <w:rFonts w:asciiTheme="minorHAnsi" w:eastAsiaTheme="majorEastAsia" w:hAnsiTheme="minorHAnsi" w:cstheme="majorBidi"/>
      <w:color w:val="F26522" w:themeColor="accent1"/>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after="120"/>
      <w:outlineLvl w:val="3"/>
    </w:pPr>
    <w:rPr>
      <w:rFonts w:asciiTheme="majorHAnsi" w:eastAsiaTheme="majorEastAsia" w:hAnsiTheme="majorHAnsi" w:cstheme="majorBidi"/>
      <w:b/>
      <w:iCs/>
      <w:color w:val="0079C1" w:themeColor="accent2"/>
      <w:sz w:val="20"/>
      <w:szCs w:val="20"/>
    </w:rPr>
  </w:style>
  <w:style w:type="paragraph" w:styleId="Heading5">
    <w:name w:val="heading 5"/>
    <w:basedOn w:val="Normal"/>
    <w:next w:val="Normal"/>
    <w:link w:val="Heading5Char"/>
    <w:uiPriority w:val="23"/>
    <w:semiHidden/>
    <w:qFormat/>
    <w:rsid w:val="00182168"/>
    <w:pPr>
      <w:keepNext/>
      <w:keepLines/>
      <w:numPr>
        <w:ilvl w:val="4"/>
        <w:numId w:val="17"/>
      </w:numPr>
      <w:spacing w:before="40"/>
      <w:outlineLvl w:val="4"/>
    </w:pPr>
    <w:rPr>
      <w:rFonts w:asciiTheme="majorHAnsi" w:eastAsiaTheme="majorEastAsia" w:hAnsiTheme="majorHAnsi" w:cstheme="majorBidi"/>
      <w:color w:val="C3460B" w:themeColor="accent1" w:themeShade="BF"/>
      <w:sz w:val="20"/>
      <w:szCs w:val="20"/>
    </w:rPr>
  </w:style>
  <w:style w:type="paragraph" w:styleId="Heading6">
    <w:name w:val="heading 6"/>
    <w:basedOn w:val="Normal"/>
    <w:next w:val="Normal"/>
    <w:link w:val="Heading6Char"/>
    <w:uiPriority w:val="23"/>
    <w:semiHidden/>
    <w:qFormat/>
    <w:rsid w:val="007A0004"/>
    <w:pPr>
      <w:keepNext/>
      <w:keepLines/>
      <w:numPr>
        <w:ilvl w:val="5"/>
        <w:numId w:val="17"/>
      </w:numPr>
      <w:spacing w:before="40"/>
      <w:outlineLvl w:val="5"/>
    </w:pPr>
    <w:rPr>
      <w:rFonts w:asciiTheme="majorHAnsi" w:eastAsiaTheme="majorEastAsia" w:hAnsiTheme="majorHAnsi" w:cstheme="majorBidi"/>
      <w:color w:val="812E07" w:themeColor="accent1" w:themeShade="7F"/>
      <w:sz w:val="20"/>
      <w:szCs w:val="20"/>
    </w:rPr>
  </w:style>
  <w:style w:type="paragraph" w:styleId="Heading7">
    <w:name w:val="heading 7"/>
    <w:basedOn w:val="Normal"/>
    <w:next w:val="Normal"/>
    <w:link w:val="Heading7Char"/>
    <w:uiPriority w:val="23"/>
    <w:semiHidden/>
    <w:qFormat/>
    <w:rsid w:val="007A0004"/>
    <w:pPr>
      <w:keepNext/>
      <w:keepLines/>
      <w:numPr>
        <w:ilvl w:val="6"/>
        <w:numId w:val="17"/>
      </w:numPr>
      <w:spacing w:before="40"/>
      <w:outlineLvl w:val="6"/>
    </w:pPr>
    <w:rPr>
      <w:rFonts w:asciiTheme="majorHAnsi" w:eastAsiaTheme="majorEastAsia" w:hAnsiTheme="majorHAnsi" w:cstheme="majorBidi"/>
      <w:i/>
      <w:iCs/>
      <w:color w:val="812E07" w:themeColor="accent1" w:themeShade="7F"/>
      <w:sz w:val="20"/>
      <w:szCs w:val="20"/>
    </w:rPr>
  </w:style>
  <w:style w:type="paragraph" w:styleId="Heading8">
    <w:name w:val="heading 8"/>
    <w:basedOn w:val="Normal"/>
    <w:next w:val="Normal"/>
    <w:link w:val="Heading8Char"/>
    <w:uiPriority w:val="23"/>
    <w:semiHidden/>
    <w:qFormat/>
    <w:rsid w:val="007A0004"/>
    <w:pPr>
      <w:keepNext/>
      <w:keepLines/>
      <w:numPr>
        <w:ilvl w:val="7"/>
        <w:numId w:val="17"/>
      </w:numPr>
      <w:spacing w:before="4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pPr>
      <w:spacing w:after="120"/>
    </w:pPr>
    <w:rPr>
      <w:rFonts w:asciiTheme="minorHAnsi" w:eastAsiaTheme="minorHAnsi" w:hAnsiTheme="minorHAnsi" w:cstheme="minorBidi"/>
      <w:noProof/>
      <w:color w:val="454545" w:themeColor="text1"/>
      <w:sz w:val="18"/>
      <w:szCs w:val="20"/>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rsid w:val="00D256C4"/>
    <w:pPr>
      <w:keepNext/>
      <w:spacing w:before="480" w:after="120"/>
      <w:outlineLvl w:val="0"/>
    </w:pPr>
    <w:rPr>
      <w:rFonts w:asciiTheme="majorHAnsi" w:eastAsiaTheme="minorHAnsi" w:hAnsiTheme="majorHAnsi" w:cstheme="minorBid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nhideWhenUsed/>
    <w:rsid w:val="00776CDB"/>
    <w:rPr>
      <w:rFonts w:asciiTheme="minorHAnsi" w:eastAsiaTheme="minorHAnsi" w:hAnsiTheme="minorHAnsi" w:cstheme="minorBidi"/>
      <w:noProof/>
      <w:color w:val="454545" w:themeColor="text1"/>
      <w:sz w:val="16"/>
      <w:szCs w:val="20"/>
    </w:rPr>
  </w:style>
  <w:style w:type="paragraph" w:styleId="BalloonText">
    <w:name w:val="Balloon Text"/>
    <w:basedOn w:val="Normal"/>
    <w:link w:val="BalloonTextChar"/>
    <w:uiPriority w:val="99"/>
    <w:semiHidden/>
    <w:unhideWhenUsed/>
    <w:rsid w:val="000D3A7B"/>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rsid w:val="00776CDB"/>
    <w:rPr>
      <w:noProof/>
      <w:color w:val="454545" w:themeColor="text1"/>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spacing w:after="120"/>
      <w:contextualSpacing/>
    </w:pPr>
    <w:rPr>
      <w:rFonts w:asciiTheme="minorHAnsi" w:eastAsiaTheme="minorHAnsi" w:hAnsiTheme="minorHAnsi" w:cstheme="minorBidi"/>
      <w:color w:val="454545" w:themeColor="text1"/>
      <w:sz w:val="20"/>
      <w:szCs w:val="20"/>
    </w:rPr>
  </w:style>
  <w:style w:type="paragraph" w:styleId="ListBullet2">
    <w:name w:val="List Bullet 2"/>
    <w:basedOn w:val="Normal"/>
    <w:uiPriority w:val="99"/>
    <w:semiHidden/>
    <w:rsid w:val="00C41B0D"/>
    <w:pPr>
      <w:numPr>
        <w:numId w:val="2"/>
      </w:numPr>
      <w:spacing w:after="120"/>
      <w:contextualSpacing/>
    </w:pPr>
    <w:rPr>
      <w:rFonts w:asciiTheme="minorHAnsi" w:eastAsiaTheme="minorHAnsi" w:hAnsiTheme="minorHAnsi" w:cstheme="minorBidi"/>
      <w:color w:val="454545" w:themeColor="text1"/>
      <w:sz w:val="20"/>
      <w:szCs w:val="20"/>
    </w:rPr>
  </w:style>
  <w:style w:type="paragraph" w:styleId="ListBullet3">
    <w:name w:val="List Bullet 3"/>
    <w:basedOn w:val="Normal"/>
    <w:uiPriority w:val="99"/>
    <w:semiHidden/>
    <w:rsid w:val="00C41B0D"/>
    <w:pPr>
      <w:numPr>
        <w:numId w:val="3"/>
      </w:numPr>
      <w:spacing w:after="120"/>
      <w:contextualSpacing/>
    </w:pPr>
    <w:rPr>
      <w:rFonts w:asciiTheme="minorHAnsi" w:eastAsiaTheme="minorHAnsi" w:hAnsiTheme="minorHAnsi" w:cstheme="minorBidi"/>
      <w:color w:val="454545" w:themeColor="text1"/>
      <w:sz w:val="20"/>
      <w:szCs w:val="20"/>
    </w:rPr>
  </w:style>
  <w:style w:type="paragraph" w:styleId="ListBullet4">
    <w:name w:val="List Bullet 4"/>
    <w:basedOn w:val="Normal"/>
    <w:uiPriority w:val="99"/>
    <w:semiHidden/>
    <w:rsid w:val="00C41B0D"/>
    <w:pPr>
      <w:numPr>
        <w:numId w:val="4"/>
      </w:numPr>
      <w:spacing w:after="120"/>
      <w:contextualSpacing/>
    </w:pPr>
    <w:rPr>
      <w:rFonts w:asciiTheme="minorHAnsi" w:eastAsiaTheme="minorHAnsi" w:hAnsiTheme="minorHAnsi" w:cstheme="minorBidi"/>
      <w:color w:val="454545" w:themeColor="text1"/>
      <w:sz w:val="20"/>
      <w:szCs w:val="20"/>
    </w:rPr>
  </w:style>
  <w:style w:type="paragraph" w:styleId="ListBullet5">
    <w:name w:val="List Bullet 5"/>
    <w:basedOn w:val="Normal"/>
    <w:uiPriority w:val="99"/>
    <w:semiHidden/>
    <w:rsid w:val="00C41B0D"/>
    <w:pPr>
      <w:numPr>
        <w:numId w:val="5"/>
      </w:numPr>
      <w:spacing w:after="120"/>
      <w:contextualSpacing/>
    </w:pPr>
    <w:rPr>
      <w:rFonts w:asciiTheme="minorHAnsi" w:eastAsiaTheme="minorHAnsi" w:hAnsiTheme="minorHAnsi" w:cstheme="minorBidi"/>
      <w:color w:val="454545" w:themeColor="text1"/>
      <w:sz w:val="20"/>
      <w:szCs w:val="20"/>
    </w:rPr>
  </w:style>
  <w:style w:type="paragraph" w:styleId="ListNumber">
    <w:name w:val="List Number"/>
    <w:basedOn w:val="Normal"/>
    <w:uiPriority w:val="99"/>
    <w:semiHidden/>
    <w:rsid w:val="006B573D"/>
    <w:pPr>
      <w:numPr>
        <w:numId w:val="6"/>
      </w:numPr>
      <w:spacing w:after="120"/>
      <w:contextualSpacing/>
    </w:pPr>
    <w:rPr>
      <w:rFonts w:asciiTheme="minorHAnsi" w:eastAsiaTheme="minorHAnsi" w:hAnsiTheme="minorHAnsi" w:cstheme="minorBidi"/>
      <w:color w:val="454545" w:themeColor="text1"/>
      <w:sz w:val="20"/>
      <w:szCs w:val="20"/>
    </w:rPr>
  </w:style>
  <w:style w:type="paragraph" w:styleId="ListNumber2">
    <w:name w:val="List Number 2"/>
    <w:basedOn w:val="Normal"/>
    <w:uiPriority w:val="99"/>
    <w:semiHidden/>
    <w:rsid w:val="006B573D"/>
    <w:pPr>
      <w:numPr>
        <w:numId w:val="7"/>
      </w:numPr>
      <w:spacing w:after="120"/>
      <w:contextualSpacing/>
    </w:pPr>
    <w:rPr>
      <w:rFonts w:asciiTheme="minorHAnsi" w:eastAsiaTheme="minorHAnsi" w:hAnsiTheme="minorHAnsi" w:cstheme="minorBidi"/>
      <w:color w:val="454545" w:themeColor="text1"/>
      <w:sz w:val="20"/>
      <w:szCs w:val="20"/>
    </w:rPr>
  </w:style>
  <w:style w:type="paragraph" w:styleId="ListNumber3">
    <w:name w:val="List Number 3"/>
    <w:basedOn w:val="Normal"/>
    <w:uiPriority w:val="99"/>
    <w:semiHidden/>
    <w:rsid w:val="006B573D"/>
    <w:pPr>
      <w:numPr>
        <w:numId w:val="8"/>
      </w:numPr>
      <w:spacing w:after="120"/>
      <w:contextualSpacing/>
    </w:pPr>
    <w:rPr>
      <w:rFonts w:asciiTheme="minorHAnsi" w:eastAsiaTheme="minorHAnsi" w:hAnsiTheme="minorHAnsi" w:cstheme="minorBidi"/>
      <w:color w:val="454545" w:themeColor="text1"/>
      <w:sz w:val="20"/>
      <w:szCs w:val="20"/>
    </w:rPr>
  </w:style>
  <w:style w:type="paragraph" w:styleId="ListNumber4">
    <w:name w:val="List Number 4"/>
    <w:basedOn w:val="Normal"/>
    <w:uiPriority w:val="99"/>
    <w:semiHidden/>
    <w:rsid w:val="006B573D"/>
    <w:pPr>
      <w:numPr>
        <w:numId w:val="9"/>
      </w:numPr>
      <w:spacing w:after="120"/>
      <w:contextualSpacing/>
    </w:pPr>
    <w:rPr>
      <w:rFonts w:asciiTheme="minorHAnsi" w:eastAsiaTheme="minorHAnsi" w:hAnsiTheme="minorHAnsi" w:cstheme="minorBidi"/>
      <w:color w:val="454545" w:themeColor="text1"/>
      <w:sz w:val="20"/>
      <w:szCs w:val="20"/>
    </w:rPr>
  </w:style>
  <w:style w:type="paragraph" w:styleId="ListNumber5">
    <w:name w:val="List Number 5"/>
    <w:basedOn w:val="Normal"/>
    <w:uiPriority w:val="99"/>
    <w:semiHidden/>
    <w:rsid w:val="006B573D"/>
    <w:pPr>
      <w:numPr>
        <w:numId w:val="10"/>
      </w:numPr>
      <w:spacing w:after="120"/>
      <w:contextualSpacing/>
    </w:pPr>
    <w:rPr>
      <w:rFonts w:asciiTheme="minorHAnsi" w:eastAsiaTheme="minorHAnsi" w:hAnsiTheme="minorHAnsi" w:cstheme="minorBidi"/>
      <w:color w:val="454545" w:themeColor="text1"/>
      <w:sz w:val="20"/>
      <w:szCs w:val="20"/>
    </w:rPr>
  </w:style>
  <w:style w:type="paragraph" w:styleId="List">
    <w:name w:val="List"/>
    <w:basedOn w:val="Normal"/>
    <w:uiPriority w:val="99"/>
    <w:semiHidden/>
    <w:rsid w:val="00DD3320"/>
    <w:pPr>
      <w:spacing w:after="120"/>
      <w:ind w:left="283" w:hanging="283"/>
      <w:contextualSpacing/>
    </w:pPr>
    <w:rPr>
      <w:rFonts w:asciiTheme="minorHAnsi" w:eastAsiaTheme="minorHAnsi" w:hAnsiTheme="minorHAnsi" w:cstheme="minorBidi"/>
      <w:color w:val="454545" w:themeColor="text1"/>
      <w:sz w:val="20"/>
      <w:szCs w:val="20"/>
    </w:rPr>
  </w:style>
  <w:style w:type="paragraph" w:styleId="List2">
    <w:name w:val="List 2"/>
    <w:basedOn w:val="Normal"/>
    <w:uiPriority w:val="99"/>
    <w:semiHidden/>
    <w:rsid w:val="00DD3320"/>
    <w:pPr>
      <w:spacing w:after="120"/>
      <w:ind w:left="566" w:hanging="283"/>
      <w:contextualSpacing/>
    </w:pPr>
    <w:rPr>
      <w:rFonts w:asciiTheme="minorHAnsi" w:eastAsiaTheme="minorHAnsi" w:hAnsiTheme="minorHAnsi" w:cstheme="minorBidi"/>
      <w:color w:val="454545" w:themeColor="text1"/>
      <w:sz w:val="20"/>
      <w:szCs w:val="20"/>
    </w:rPr>
  </w:style>
  <w:style w:type="paragraph" w:styleId="List3">
    <w:name w:val="List 3"/>
    <w:basedOn w:val="Normal"/>
    <w:uiPriority w:val="99"/>
    <w:semiHidden/>
    <w:rsid w:val="00DD3320"/>
    <w:pPr>
      <w:spacing w:after="120"/>
      <w:ind w:left="849" w:hanging="283"/>
      <w:contextualSpacing/>
    </w:pPr>
    <w:rPr>
      <w:rFonts w:asciiTheme="minorHAnsi" w:eastAsiaTheme="minorHAnsi" w:hAnsiTheme="minorHAnsi" w:cstheme="minorBidi"/>
      <w:color w:val="454545" w:themeColor="text1"/>
      <w:sz w:val="20"/>
      <w:szCs w:val="20"/>
    </w:rPr>
  </w:style>
  <w:style w:type="paragraph" w:styleId="List4">
    <w:name w:val="List 4"/>
    <w:basedOn w:val="Normal"/>
    <w:uiPriority w:val="99"/>
    <w:semiHidden/>
    <w:rsid w:val="00DD3320"/>
    <w:pPr>
      <w:spacing w:after="120"/>
      <w:ind w:left="1132" w:hanging="283"/>
      <w:contextualSpacing/>
    </w:pPr>
    <w:rPr>
      <w:rFonts w:asciiTheme="minorHAnsi" w:eastAsiaTheme="minorHAnsi" w:hAnsiTheme="minorHAnsi" w:cstheme="minorBidi"/>
      <w:color w:val="454545" w:themeColor="text1"/>
      <w:sz w:val="20"/>
      <w:szCs w:val="20"/>
    </w:rPr>
  </w:style>
  <w:style w:type="paragraph" w:styleId="List5">
    <w:name w:val="List 5"/>
    <w:basedOn w:val="Normal"/>
    <w:uiPriority w:val="99"/>
    <w:semiHidden/>
    <w:rsid w:val="00DD3320"/>
    <w:pPr>
      <w:spacing w:after="120"/>
      <w:ind w:left="1415" w:hanging="283"/>
      <w:contextualSpacing/>
    </w:pPr>
    <w:rPr>
      <w:rFonts w:asciiTheme="minorHAnsi" w:eastAsiaTheme="minorHAnsi" w:hAnsiTheme="minorHAnsi" w:cstheme="minorBidi"/>
      <w:color w:val="454545" w:themeColor="text1"/>
      <w:sz w:val="20"/>
      <w:szCs w:val="20"/>
    </w:r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pPr>
      <w:spacing w:after="120"/>
    </w:pPr>
    <w:rPr>
      <w:rFonts w:asciiTheme="minorHAnsi" w:eastAsiaTheme="minorHAnsi" w:hAnsiTheme="minorHAnsi" w:cstheme="minorBidi"/>
      <w:color w:val="454545" w:themeColor="text1"/>
      <w:sz w:val="20"/>
      <w:szCs w:val="20"/>
    </w:rPr>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contextualSpacing/>
    </w:pPr>
    <w:rPr>
      <w:rFonts w:asciiTheme="majorHAnsi" w:eastAsiaTheme="majorEastAsia" w:hAnsiTheme="majorHAnsi" w:cstheme="majorBidi"/>
      <w:color w:val="454545" w:themeColor="text1"/>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rFonts w:asciiTheme="minorHAnsi" w:eastAsiaTheme="minorHAnsi" w:hAnsiTheme="minorHAnsi" w:cstheme="minorBidi"/>
      <w:noProof/>
      <w:color w:val="454545" w:themeColor="text1"/>
      <w:sz w:val="20"/>
      <w:szCs w:val="20"/>
    </w:rPr>
  </w:style>
  <w:style w:type="paragraph" w:styleId="TOC1">
    <w:name w:val="toc 1"/>
    <w:basedOn w:val="Normal"/>
    <w:next w:val="Normal"/>
    <w:autoRedefine/>
    <w:uiPriority w:val="39"/>
    <w:rsid w:val="00FB6CEF"/>
    <w:pPr>
      <w:tabs>
        <w:tab w:val="right" w:leader="dot" w:pos="10194"/>
      </w:tabs>
      <w:spacing w:before="240"/>
    </w:pPr>
    <w:rPr>
      <w:rFonts w:asciiTheme="minorHAnsi" w:eastAsiaTheme="minorHAnsi" w:hAnsiTheme="minorHAnsi" w:cstheme="minorBidi"/>
      <w:noProof/>
      <w:color w:val="F26522" w:themeColor="accent1"/>
      <w:szCs w:val="20"/>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isclaimer">
    <w:name w:val="Disclaimer"/>
    <w:basedOn w:val="Footer"/>
    <w:link w:val="DisclaimerChar"/>
    <w:uiPriority w:val="99"/>
    <w:qFormat/>
    <w:rsid w:val="0029281D"/>
    <w:pPr>
      <w:spacing w:before="60" w:after="60"/>
    </w:pPr>
  </w:style>
  <w:style w:type="paragraph" w:customStyle="1" w:styleId="Introtext">
    <w:name w:val="Intro text"/>
    <w:basedOn w:val="Normal"/>
    <w:uiPriority w:val="99"/>
    <w:qFormat/>
    <w:rsid w:val="00CE7C68"/>
    <w:pPr>
      <w:spacing w:after="120"/>
    </w:pPr>
    <w:rPr>
      <w:rFonts w:asciiTheme="minorHAnsi" w:eastAsiaTheme="minorHAnsi" w:hAnsiTheme="minorHAnsi" w:cstheme="minorBidi"/>
      <w:color w:val="0079C1" w:themeColor="accent2"/>
      <w:szCs w:val="20"/>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isclaimerChar">
    <w:name w:val="Disclaimer Char"/>
    <w:basedOn w:val="FooterChar"/>
    <w:link w:val="Disclaimer"/>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customStyle="1" w:styleId="UnresolvedMention1">
    <w:name w:val="Unresolved Mention1"/>
    <w:basedOn w:val="DefaultParagraphFont"/>
    <w:uiPriority w:val="99"/>
    <w:semiHidden/>
    <w:unhideWhenUsed/>
    <w:rsid w:val="00DF7557"/>
    <w:rPr>
      <w:color w:val="605E5C"/>
      <w:shd w:val="clear" w:color="auto" w:fill="E1DFDD"/>
    </w:rPr>
  </w:style>
  <w:style w:type="paragraph" w:customStyle="1" w:styleId="Companyinfo">
    <w:name w:val="Company info"/>
    <w:basedOn w:val="Normal"/>
    <w:uiPriority w:val="99"/>
    <w:qFormat/>
    <w:rsid w:val="0013039D"/>
    <w:pPr>
      <w:spacing w:before="240"/>
      <w:contextualSpacing/>
    </w:pPr>
    <w:rPr>
      <w:rFonts w:asciiTheme="minorHAnsi" w:eastAsiaTheme="minorHAnsi" w:hAnsiTheme="minorHAnsi" w:cstheme="minorBidi"/>
      <w:color w:val="454545" w:themeColor="text1"/>
      <w:sz w:val="16"/>
      <w:szCs w:val="20"/>
    </w:rPr>
  </w:style>
  <w:style w:type="paragraph" w:customStyle="1" w:styleId="Clientaddresssalutation">
    <w:name w:val="Client address &amp; salutation"/>
    <w:basedOn w:val="BodyText"/>
    <w:uiPriority w:val="99"/>
    <w:qFormat/>
    <w:rsid w:val="0013039D"/>
    <w:pPr>
      <w:spacing w:after="0"/>
    </w:pPr>
  </w:style>
  <w:style w:type="paragraph" w:customStyle="1" w:styleId="LetterReference">
    <w:name w:val="Letter Reference"/>
    <w:basedOn w:val="BodyText"/>
    <w:next w:val="BodyText"/>
    <w:qFormat/>
    <w:rsid w:val="007C066C"/>
    <w:pPr>
      <w:spacing w:before="360" w:after="240"/>
    </w:pPr>
    <w:rPr>
      <w:b/>
    </w:rPr>
  </w:style>
  <w:style w:type="paragraph" w:customStyle="1" w:styleId="Contactinformation">
    <w:name w:val="Contact information"/>
    <w:next w:val="BodyText"/>
    <w:uiPriority w:val="99"/>
    <w:qFormat/>
    <w:rsid w:val="007C066C"/>
    <w:pPr>
      <w:spacing w:after="0"/>
      <w:contextualSpacing/>
      <w:jc w:val="right"/>
    </w:pPr>
    <w:rPr>
      <w:color w:val="454545" w:themeColor="text1"/>
      <w:sz w:val="16"/>
      <w:lang w:val="en-GB"/>
    </w:rPr>
  </w:style>
  <w:style w:type="paragraph" w:customStyle="1" w:styleId="LetterDate">
    <w:name w:val="Letter Date"/>
    <w:basedOn w:val="Clientaddresssalutation"/>
    <w:next w:val="LetterReference"/>
    <w:qFormat/>
    <w:rsid w:val="007C066C"/>
    <w:pPr>
      <w:spacing w:before="120" w:after="360"/>
    </w:pPr>
  </w:style>
  <w:style w:type="paragraph" w:customStyle="1" w:styleId="LetterName">
    <w:name w:val="Letter Name"/>
    <w:basedOn w:val="Clientaddresssalutation"/>
    <w:next w:val="LetterTitle"/>
    <w:qFormat/>
    <w:rsid w:val="007C066C"/>
    <w:pPr>
      <w:spacing w:before="1080"/>
    </w:pPr>
  </w:style>
  <w:style w:type="paragraph" w:customStyle="1" w:styleId="LetterTitle">
    <w:name w:val="Letter Title"/>
    <w:basedOn w:val="Clientaddresssalutation"/>
    <w:qFormat/>
    <w:rsid w:val="007C066C"/>
  </w:style>
  <w:style w:type="character" w:styleId="Mention">
    <w:name w:val="Mention"/>
    <w:basedOn w:val="DefaultParagraphFont"/>
    <w:uiPriority w:val="99"/>
    <w:semiHidden/>
    <w:unhideWhenUsed/>
    <w:rsid w:val="006E4F00"/>
    <w:rPr>
      <w:color w:val="2B579A"/>
      <w:shd w:val="clear" w:color="auto" w:fill="E6E6E6"/>
    </w:rPr>
  </w:style>
  <w:style w:type="character" w:styleId="FollowedHyperlink">
    <w:name w:val="FollowedHyperlink"/>
    <w:basedOn w:val="DefaultParagraphFont"/>
    <w:uiPriority w:val="99"/>
    <w:semiHidden/>
    <w:unhideWhenUsed/>
    <w:rsid w:val="00432D76"/>
    <w:rPr>
      <w:color w:val="FFBF2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85081828">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73077026">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89462623">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grides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grideso.com/balancing-services/reactive-power-services/enhanced-reactive-power-service-erp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campion\Downloads\ESO%20Word%20Template%20-%20Letter%201_Warwick.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86AC-092E-4DA0-8704-5A132A487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Letter 1_Warwick.dotx</Template>
  <TotalTime>38</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Campion</dc:creator>
  <cp:keywords/>
  <dc:description/>
  <cp:lastModifiedBy>Miller (ESO), Steve</cp:lastModifiedBy>
  <cp:revision>8</cp:revision>
  <cp:lastPrinted>2018-02-21T09:46:00Z</cp:lastPrinted>
  <dcterms:created xsi:type="dcterms:W3CDTF">2019-07-29T09:03:00Z</dcterms:created>
  <dcterms:modified xsi:type="dcterms:W3CDTF">2022-01-31T07:20:00Z</dcterms:modified>
</cp:coreProperties>
</file>