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38AB" w14:textId="77777777" w:rsidR="00540D4E" w:rsidRDefault="00540D4E" w:rsidP="00540D4E">
      <w:pPr>
        <w:pStyle w:val="Checklist"/>
        <w:tabs>
          <w:tab w:val="left" w:pos="4111"/>
        </w:tabs>
      </w:pPr>
      <w:r w:rsidRPr="00540D4E">
        <w:t>Workgroup Consultation Response Proforma</w:t>
      </w:r>
    </w:p>
    <w:p w14:paraId="5D32C213" w14:textId="77777777" w:rsidR="00EF6704" w:rsidRDefault="00EF6704" w:rsidP="0006725A">
      <w:pPr>
        <w:ind w:right="113"/>
        <w:rPr>
          <w:rFonts w:cs="Arial"/>
          <w:b/>
          <w:sz w:val="24"/>
        </w:rPr>
      </w:pPr>
    </w:p>
    <w:p w14:paraId="7F4C3774" w14:textId="75CFD1BF" w:rsidR="003C60F9" w:rsidRDefault="00D64BD6" w:rsidP="003C60F9">
      <w:pPr>
        <w:rPr>
          <w:rFonts w:cs="Arial"/>
          <w:b/>
          <w:color w:val="F26522" w:themeColor="accent1"/>
          <w:sz w:val="28"/>
        </w:rPr>
      </w:pPr>
      <w:bookmarkStart w:id="0" w:name="_Hlk31877162"/>
      <w:r>
        <w:rPr>
          <w:rFonts w:cs="Arial"/>
          <w:b/>
          <w:color w:val="F26522" w:themeColor="accent1"/>
          <w:sz w:val="28"/>
        </w:rPr>
        <w:t>CMP</w:t>
      </w:r>
      <w:r w:rsidR="00BE7593">
        <w:rPr>
          <w:rFonts w:cs="Arial"/>
          <w:b/>
          <w:color w:val="F26522" w:themeColor="accent1"/>
          <w:sz w:val="28"/>
        </w:rPr>
        <w:t>330</w:t>
      </w:r>
      <w:r w:rsidR="003C60F9" w:rsidRPr="00760AB5">
        <w:rPr>
          <w:rFonts w:cs="Arial"/>
          <w:b/>
          <w:color w:val="F26522" w:themeColor="accent1"/>
          <w:sz w:val="28"/>
        </w:rPr>
        <w:t xml:space="preserve">: </w:t>
      </w:r>
      <w:r w:rsidR="00BE7593">
        <w:rPr>
          <w:rFonts w:cs="Arial"/>
          <w:b/>
          <w:color w:val="F26522" w:themeColor="accent1"/>
          <w:sz w:val="28"/>
        </w:rPr>
        <w:t>Allowing new Transmission Connected Parties to build Connection Assets greater than 2km in length</w:t>
      </w:r>
      <w:r w:rsidR="0019372D">
        <w:rPr>
          <w:rFonts w:cs="Arial"/>
          <w:b/>
          <w:color w:val="F26522" w:themeColor="accent1"/>
          <w:sz w:val="28"/>
        </w:rPr>
        <w:t xml:space="preserve"> </w:t>
      </w:r>
      <w:r w:rsidR="0019372D" w:rsidRPr="00144F34">
        <w:rPr>
          <w:rFonts w:cs="Arial"/>
          <w:b/>
          <w:bCs/>
          <w:color w:val="F26522" w:themeColor="accent1"/>
          <w:kern w:val="36"/>
          <w:sz w:val="28"/>
          <w:szCs w:val="28"/>
        </w:rPr>
        <w:t>&amp; CMP374: 'Extending contestability for Transmission Connections</w:t>
      </w:r>
      <w:r w:rsidR="0019372D">
        <w:rPr>
          <w:rFonts w:cs="Arial"/>
          <w:b/>
          <w:bCs/>
          <w:color w:val="F26522" w:themeColor="accent1"/>
          <w:kern w:val="36"/>
          <w:sz w:val="28"/>
          <w:szCs w:val="28"/>
        </w:rPr>
        <w:t>.</w:t>
      </w:r>
    </w:p>
    <w:p w14:paraId="29F85434" w14:textId="77777777" w:rsidR="00BE7593" w:rsidRPr="00CF795B" w:rsidRDefault="00BE7593" w:rsidP="003C60F9">
      <w:pPr>
        <w:rPr>
          <w:rFonts w:cs="Arial"/>
          <w:b/>
          <w:color w:val="F26522" w:themeColor="accent1"/>
          <w:sz w:val="24"/>
        </w:rPr>
      </w:pPr>
    </w:p>
    <w:bookmarkEnd w:id="0"/>
    <w:p w14:paraId="36C31A7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5DC382D" w14:textId="4B48B479"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840AC3">
          <w:rPr>
            <w:rStyle w:val="Hyperlink"/>
            <w:rFonts w:cs="Arial"/>
            <w:sz w:val="24"/>
          </w:rPr>
          <w:t>cusc.team@nationalgrideso.com</w:t>
        </w:r>
      </w:hyperlink>
      <w:r w:rsidR="00D64BD6" w:rsidRPr="00840AC3">
        <w:rPr>
          <w:rStyle w:val="Hyperlink"/>
          <w:rFonts w:cs="Arial"/>
          <w:sz w:val="24"/>
        </w:rPr>
        <w:t xml:space="preserve"> </w:t>
      </w:r>
      <w:r w:rsidR="00C204B9" w:rsidRPr="00840AC3">
        <w:rPr>
          <w:rFonts w:cs="Arial"/>
          <w:spacing w:val="-3"/>
          <w:sz w:val="24"/>
        </w:rPr>
        <w:t xml:space="preserve">by </w:t>
      </w:r>
      <w:r w:rsidR="00840AC3" w:rsidRPr="00840AC3">
        <w:rPr>
          <w:rFonts w:cs="Arial"/>
          <w:b/>
          <w:spacing w:val="-3"/>
          <w:sz w:val="24"/>
        </w:rPr>
        <w:t>5</w:t>
      </w:r>
      <w:r w:rsidRPr="00840AC3">
        <w:rPr>
          <w:rFonts w:cs="Arial"/>
          <w:b/>
          <w:spacing w:val="-3"/>
          <w:sz w:val="24"/>
        </w:rPr>
        <w:t>pm</w:t>
      </w:r>
      <w:r w:rsidRPr="00840AC3">
        <w:rPr>
          <w:rFonts w:cs="Arial"/>
          <w:spacing w:val="-3"/>
          <w:sz w:val="24"/>
        </w:rPr>
        <w:t xml:space="preserve"> on </w:t>
      </w:r>
      <w:r w:rsidR="005C4598" w:rsidRPr="005C4598">
        <w:rPr>
          <w:rFonts w:cs="Arial"/>
          <w:b/>
          <w:bCs/>
          <w:spacing w:val="-3"/>
          <w:sz w:val="24"/>
        </w:rPr>
        <w:t>1</w:t>
      </w:r>
      <w:r w:rsidR="00043D7C">
        <w:rPr>
          <w:rFonts w:cs="Arial"/>
          <w:b/>
          <w:bCs/>
          <w:spacing w:val="-3"/>
          <w:sz w:val="24"/>
        </w:rPr>
        <w:t>7</w:t>
      </w:r>
      <w:r w:rsidR="005C4598" w:rsidRPr="005C4598">
        <w:rPr>
          <w:rFonts w:cs="Arial"/>
          <w:b/>
          <w:bCs/>
          <w:spacing w:val="-3"/>
          <w:sz w:val="24"/>
        </w:rPr>
        <w:t xml:space="preserve"> January 2022</w:t>
      </w:r>
      <w:r w:rsidRPr="00840AC3">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1C63FF79" w14:textId="77777777"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BE7593">
        <w:rPr>
          <w:rFonts w:cs="Arial"/>
          <w:sz w:val="24"/>
        </w:rPr>
        <w:t xml:space="preserve">Ren Walker </w:t>
      </w:r>
      <w:hyperlink r:id="rId11" w:history="1">
        <w:r w:rsidR="00BE7593" w:rsidRPr="00823C85">
          <w:rPr>
            <w:rStyle w:val="Hyperlink"/>
            <w:rFonts w:cs="Arial"/>
            <w:sz w:val="24"/>
          </w:rPr>
          <w:t>Lurrentia.Walker@nationalgrideso.com</w:t>
        </w:r>
      </w:hyperlink>
      <w:r w:rsidR="0006725A" w:rsidRPr="00CF795B">
        <w:rPr>
          <w:sz w:val="24"/>
        </w:rPr>
        <w:t xml:space="preserve"> or </w:t>
      </w:r>
      <w:hyperlink r:id="rId12" w:history="1">
        <w:r w:rsidR="00D64BD6" w:rsidRPr="00BE7593">
          <w:rPr>
            <w:rStyle w:val="Hyperlink"/>
            <w:rFonts w:cs="Arial"/>
            <w:sz w:val="24"/>
          </w:rPr>
          <w:t>cusc.team@nationalgrideso.com</w:t>
        </w:r>
      </w:hyperlink>
      <w:r w:rsidR="00D64BD6" w:rsidRPr="00BE7593">
        <w:rPr>
          <w:rStyle w:val="Hyperlink"/>
          <w:rFonts w:cs="Arial"/>
          <w:sz w:val="24"/>
        </w:rPr>
        <w:t xml:space="preserve"> </w:t>
      </w:r>
    </w:p>
    <w:p w14:paraId="434C98C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D06A570" w14:textId="77777777" w:rsidTr="00760AB5">
        <w:trPr>
          <w:trHeight w:val="290"/>
        </w:trPr>
        <w:tc>
          <w:tcPr>
            <w:tcW w:w="3085" w:type="dxa"/>
            <w:shd w:val="clear" w:color="auto" w:fill="F26522" w:themeFill="accent1"/>
          </w:tcPr>
          <w:p w14:paraId="6C8ED42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E6CBFC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C208E04" w14:textId="77777777" w:rsidTr="00760AB5">
        <w:trPr>
          <w:trHeight w:val="238"/>
        </w:trPr>
        <w:tc>
          <w:tcPr>
            <w:tcW w:w="3085" w:type="dxa"/>
          </w:tcPr>
          <w:p w14:paraId="3305999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C7FC595A5BC4882897D1B30724D0257"/>
            </w:placeholder>
            <w:showingPlcHdr/>
          </w:sdtPr>
          <w:sdtEndPr/>
          <w:sdtContent>
            <w:tc>
              <w:tcPr>
                <w:tcW w:w="5841" w:type="dxa"/>
              </w:tcPr>
              <w:p w14:paraId="78E2493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386AC31" w14:textId="77777777" w:rsidTr="00760AB5">
        <w:trPr>
          <w:trHeight w:val="238"/>
        </w:trPr>
        <w:tc>
          <w:tcPr>
            <w:tcW w:w="3085" w:type="dxa"/>
          </w:tcPr>
          <w:p w14:paraId="27F4F5D0"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C380007F16A44DB8B0D5C3964518E0D"/>
            </w:placeholder>
            <w:showingPlcHdr/>
          </w:sdtPr>
          <w:sdtEndPr/>
          <w:sdtContent>
            <w:tc>
              <w:tcPr>
                <w:tcW w:w="5841" w:type="dxa"/>
              </w:tcPr>
              <w:p w14:paraId="7B86F58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06D19A8" w14:textId="77777777" w:rsidTr="00760AB5">
        <w:trPr>
          <w:trHeight w:val="238"/>
        </w:trPr>
        <w:tc>
          <w:tcPr>
            <w:tcW w:w="3085" w:type="dxa"/>
          </w:tcPr>
          <w:p w14:paraId="60888D6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AE05A0D8EC147458260C5DFA016B28B"/>
            </w:placeholder>
            <w:showingPlcHdr/>
          </w:sdtPr>
          <w:sdtEndPr/>
          <w:sdtContent>
            <w:tc>
              <w:tcPr>
                <w:tcW w:w="5841" w:type="dxa"/>
              </w:tcPr>
              <w:p w14:paraId="71A635D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7632DF5" w14:textId="77777777" w:rsidTr="00760AB5">
        <w:trPr>
          <w:trHeight w:val="238"/>
        </w:trPr>
        <w:tc>
          <w:tcPr>
            <w:tcW w:w="3085" w:type="dxa"/>
          </w:tcPr>
          <w:p w14:paraId="447E08B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AE05A0D8EC147458260C5DFA016B28B"/>
            </w:placeholder>
            <w:showingPlcHdr/>
          </w:sdtPr>
          <w:sdtEndPr/>
          <w:sdtContent>
            <w:tc>
              <w:tcPr>
                <w:tcW w:w="5841" w:type="dxa"/>
              </w:tcPr>
              <w:p w14:paraId="32202CCB" w14:textId="77777777" w:rsidR="00760AB5" w:rsidRDefault="00760AB5" w:rsidP="00760AB5">
                <w:pPr>
                  <w:rPr>
                    <w:sz w:val="24"/>
                  </w:rPr>
                </w:pPr>
                <w:r w:rsidRPr="004C39B5">
                  <w:rPr>
                    <w:rStyle w:val="PlaceholderText"/>
                    <w:rFonts w:eastAsiaTheme="minorHAnsi"/>
                  </w:rPr>
                  <w:t>Click or tap here to enter text.</w:t>
                </w:r>
              </w:p>
            </w:tc>
          </w:sdtContent>
        </w:sdt>
      </w:tr>
    </w:tbl>
    <w:p w14:paraId="52E6CB0C" w14:textId="77777777" w:rsidR="00760AB5" w:rsidRPr="00AC4CF2" w:rsidRDefault="00760AB5" w:rsidP="00677103">
      <w:pPr>
        <w:pStyle w:val="BodyText"/>
        <w:rPr>
          <w:rFonts w:cs="Arial"/>
          <w:b/>
          <w:sz w:val="24"/>
        </w:rPr>
      </w:pPr>
    </w:p>
    <w:p w14:paraId="7B086A4A" w14:textId="77777777" w:rsidR="009B3CCB" w:rsidRDefault="009B3CCB" w:rsidP="009B3CCB">
      <w:pPr>
        <w:pStyle w:val="BodyText"/>
        <w:rPr>
          <w:b/>
          <w:color w:val="F26522" w:themeColor="accent1"/>
          <w:sz w:val="24"/>
        </w:rPr>
      </w:pPr>
      <w:r>
        <w:rPr>
          <w:b/>
          <w:color w:val="F26522" w:themeColor="accent1"/>
          <w:sz w:val="24"/>
        </w:rPr>
        <w:t xml:space="preserve">For reference the </w:t>
      </w:r>
      <w:r w:rsidR="00D64BD6">
        <w:rPr>
          <w:b/>
          <w:color w:val="F26522" w:themeColor="accent1"/>
          <w:sz w:val="24"/>
        </w:rPr>
        <w:t>A</w:t>
      </w:r>
      <w:r>
        <w:rPr>
          <w:b/>
          <w:color w:val="F26522" w:themeColor="accent1"/>
          <w:sz w:val="24"/>
        </w:rPr>
        <w:t xml:space="preserve">pplicable CUSC (charging) </w:t>
      </w:r>
      <w:r w:rsidR="00D64BD6">
        <w:rPr>
          <w:b/>
          <w:color w:val="F26522" w:themeColor="accent1"/>
          <w:sz w:val="24"/>
        </w:rPr>
        <w:t>O</w:t>
      </w:r>
      <w:r>
        <w:rPr>
          <w:b/>
          <w:color w:val="F26522" w:themeColor="accent1"/>
          <w:sz w:val="24"/>
        </w:rPr>
        <w:t xml:space="preserve">bjectives are: </w:t>
      </w:r>
    </w:p>
    <w:p w14:paraId="0CE29E69" w14:textId="77777777" w:rsidR="009B3CCB" w:rsidRDefault="009B3CCB" w:rsidP="009B3CCB">
      <w:pPr>
        <w:pStyle w:val="BodyText"/>
        <w:numPr>
          <w:ilvl w:val="0"/>
          <w:numId w:val="14"/>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6CE3C9A1" w14:textId="77777777" w:rsidR="009B3CCB" w:rsidRDefault="009B3CCB" w:rsidP="009B3CCB">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9BB1B1F" w14:textId="77777777" w:rsidR="009B3CCB" w:rsidRDefault="009B3CCB" w:rsidP="009B3CCB">
      <w:pPr>
        <w:pStyle w:val="BodyText"/>
        <w:numPr>
          <w:ilvl w:val="0"/>
          <w:numId w:val="14"/>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1A0C7B5C" w14:textId="77777777" w:rsidR="009B3CCB" w:rsidRDefault="009B3CCB" w:rsidP="009B3CCB">
      <w:pPr>
        <w:pStyle w:val="BodyText"/>
        <w:numPr>
          <w:ilvl w:val="0"/>
          <w:numId w:val="14"/>
        </w:numPr>
        <w:rPr>
          <w:i/>
        </w:rPr>
      </w:pPr>
      <w:r>
        <w:rPr>
          <w:i/>
        </w:rPr>
        <w:t>Compliance with the Electricity Regulation and any relevant legally binding decision of the European Commission and/or the Agency; and</w:t>
      </w:r>
    </w:p>
    <w:p w14:paraId="6BE53F14" w14:textId="77777777" w:rsidR="009B3CCB" w:rsidRDefault="009B3CCB" w:rsidP="009B3CCB">
      <w:pPr>
        <w:pStyle w:val="BodyText"/>
        <w:numPr>
          <w:ilvl w:val="0"/>
          <w:numId w:val="14"/>
        </w:numPr>
        <w:rPr>
          <w:i/>
        </w:rPr>
      </w:pPr>
      <w:r>
        <w:rPr>
          <w:i/>
        </w:rPr>
        <w:t xml:space="preserve">Promoting efficiency in the implementation and administration of the </w:t>
      </w:r>
      <w:r w:rsidR="00281C6D">
        <w:rPr>
          <w:i/>
        </w:rPr>
        <w:t>system charging methodology.</w:t>
      </w:r>
    </w:p>
    <w:p w14:paraId="54B1C71E" w14:textId="77777777" w:rsidR="009B3CCB" w:rsidRPr="00BE7593" w:rsidRDefault="009B3CCB" w:rsidP="00BE7593">
      <w:pPr>
        <w:pStyle w:val="BodyText"/>
        <w:rPr>
          <w:i/>
        </w:rPr>
      </w:pPr>
      <w:r>
        <w:rPr>
          <w:i/>
        </w:rPr>
        <w:t>*Objective (d) refers specifically to European Regulation 2009/714/EC. Reference to the Agency is to the Agency for the Cooperation of Energy Regulators (ACER).</w:t>
      </w:r>
      <w:r>
        <w:rPr>
          <w:rFonts w:cs="Arial"/>
          <w:b/>
          <w:sz w:val="24"/>
        </w:rPr>
        <w:br w:type="page"/>
      </w:r>
      <w:r w:rsidR="00D64BD6" w:rsidRPr="00D64BD6">
        <w:rPr>
          <w:rFonts w:cs="Arial"/>
          <w:bCs/>
          <w:kern w:val="32"/>
          <w:sz w:val="24"/>
        </w:rPr>
        <w:lastRenderedPageBreak/>
        <w:t xml:space="preserve"> </w:t>
      </w:r>
    </w:p>
    <w:p w14:paraId="4330B69F"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EDABABE"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675"/>
        <w:gridCol w:w="3749"/>
        <w:gridCol w:w="4536"/>
      </w:tblGrid>
      <w:tr w:rsidR="00760AB5" w:rsidRPr="00CF795B" w14:paraId="35F20964" w14:textId="77777777" w:rsidTr="79906629">
        <w:trPr>
          <w:trHeight w:val="264"/>
        </w:trPr>
        <w:tc>
          <w:tcPr>
            <w:tcW w:w="8960" w:type="dxa"/>
            <w:gridSpan w:val="3"/>
            <w:shd w:val="clear" w:color="auto" w:fill="F26522" w:themeFill="accent1"/>
          </w:tcPr>
          <w:p w14:paraId="683AE1B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66632788" w14:textId="77777777" w:rsidTr="79906629">
        <w:trPr>
          <w:trHeight w:val="264"/>
        </w:trPr>
        <w:tc>
          <w:tcPr>
            <w:tcW w:w="675" w:type="dxa"/>
          </w:tcPr>
          <w:p w14:paraId="215F07FD" w14:textId="77777777" w:rsidR="0006725A" w:rsidRPr="00CF795B" w:rsidRDefault="0006725A" w:rsidP="00B34474">
            <w:pPr>
              <w:rPr>
                <w:rFonts w:cs="Arial"/>
                <w:sz w:val="24"/>
              </w:rPr>
            </w:pPr>
            <w:r w:rsidRPr="00CF795B">
              <w:rPr>
                <w:rFonts w:cs="Arial"/>
                <w:sz w:val="24"/>
              </w:rPr>
              <w:t>1</w:t>
            </w:r>
          </w:p>
        </w:tc>
        <w:tc>
          <w:tcPr>
            <w:tcW w:w="3749" w:type="dxa"/>
          </w:tcPr>
          <w:p w14:paraId="55C23366" w14:textId="5776AA53"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6C0224" w:rsidRPr="00BE7593">
              <w:rPr>
                <w:sz w:val="24"/>
              </w:rPr>
              <w:t>CMP</w:t>
            </w:r>
            <w:r w:rsidR="00BE7593" w:rsidRPr="00BE7593">
              <w:rPr>
                <w:sz w:val="24"/>
              </w:rPr>
              <w:t>33</w:t>
            </w:r>
            <w:r w:rsidR="00BE7593">
              <w:rPr>
                <w:sz w:val="24"/>
              </w:rPr>
              <w:t>0</w:t>
            </w:r>
            <w:r w:rsidR="009831DA">
              <w:rPr>
                <w:sz w:val="24"/>
              </w:rPr>
              <w:t xml:space="preserve">/CMP374 </w:t>
            </w:r>
            <w:r w:rsidRPr="00CF795B">
              <w:rPr>
                <w:sz w:val="24"/>
              </w:rPr>
              <w:t>Original Proposal better facilitates the Applicable Objectives?</w:t>
            </w:r>
          </w:p>
        </w:tc>
        <w:sdt>
          <w:sdtPr>
            <w:rPr>
              <w:sz w:val="24"/>
            </w:rPr>
            <w:id w:val="-1563557985"/>
            <w:placeholder>
              <w:docPart w:val="6838CD4E657E4FE98A9673F39F078769"/>
            </w:placeholder>
            <w:showingPlcHdr/>
          </w:sdtPr>
          <w:sdtEndPr/>
          <w:sdtContent>
            <w:tc>
              <w:tcPr>
                <w:tcW w:w="4536" w:type="dxa"/>
              </w:tcPr>
              <w:p w14:paraId="163ABCA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8F2C09E" w14:textId="77777777" w:rsidTr="79906629">
        <w:trPr>
          <w:trHeight w:val="264"/>
        </w:trPr>
        <w:tc>
          <w:tcPr>
            <w:tcW w:w="675" w:type="dxa"/>
          </w:tcPr>
          <w:p w14:paraId="04F06B58" w14:textId="77777777" w:rsidR="0006725A" w:rsidRPr="00CF795B" w:rsidRDefault="00BE2538" w:rsidP="00B34474">
            <w:pPr>
              <w:rPr>
                <w:rFonts w:cs="Arial"/>
                <w:sz w:val="24"/>
              </w:rPr>
            </w:pPr>
            <w:r>
              <w:rPr>
                <w:rFonts w:cs="Arial"/>
                <w:sz w:val="24"/>
              </w:rPr>
              <w:t>2</w:t>
            </w:r>
          </w:p>
        </w:tc>
        <w:tc>
          <w:tcPr>
            <w:tcW w:w="3749" w:type="dxa"/>
          </w:tcPr>
          <w:p w14:paraId="1652C7C4"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6838CD4E657E4FE98A9673F39F078769"/>
            </w:placeholder>
            <w:showingPlcHdr/>
          </w:sdtPr>
          <w:sdtEndPr/>
          <w:sdtContent>
            <w:tc>
              <w:tcPr>
                <w:tcW w:w="4536" w:type="dxa"/>
              </w:tcPr>
              <w:p w14:paraId="00C677E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FF8197C" w14:textId="77777777" w:rsidTr="79906629">
        <w:trPr>
          <w:trHeight w:val="264"/>
        </w:trPr>
        <w:tc>
          <w:tcPr>
            <w:tcW w:w="675" w:type="dxa"/>
          </w:tcPr>
          <w:p w14:paraId="73D45639" w14:textId="77777777" w:rsidR="0006725A" w:rsidRPr="00CF795B" w:rsidRDefault="00BE2538" w:rsidP="00B34474">
            <w:pPr>
              <w:rPr>
                <w:rFonts w:cs="Arial"/>
                <w:sz w:val="24"/>
              </w:rPr>
            </w:pPr>
            <w:r>
              <w:rPr>
                <w:rFonts w:cs="Arial"/>
                <w:sz w:val="24"/>
              </w:rPr>
              <w:t>3</w:t>
            </w:r>
          </w:p>
        </w:tc>
        <w:tc>
          <w:tcPr>
            <w:tcW w:w="3749" w:type="dxa"/>
          </w:tcPr>
          <w:p w14:paraId="33FCB26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838CD4E657E4FE98A9673F39F078769"/>
            </w:placeholder>
            <w:showingPlcHdr/>
          </w:sdtPr>
          <w:sdtEndPr/>
          <w:sdtContent>
            <w:tc>
              <w:tcPr>
                <w:tcW w:w="4536" w:type="dxa"/>
              </w:tcPr>
              <w:p w14:paraId="00560B3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5EFAC069" w14:textId="77777777" w:rsidTr="79906629">
        <w:trPr>
          <w:trHeight w:val="264"/>
        </w:trPr>
        <w:tc>
          <w:tcPr>
            <w:tcW w:w="675" w:type="dxa"/>
          </w:tcPr>
          <w:p w14:paraId="6BF69D36" w14:textId="77777777" w:rsidR="0006725A" w:rsidRPr="00CF795B" w:rsidRDefault="00BE2538" w:rsidP="00B34474">
            <w:pPr>
              <w:rPr>
                <w:rFonts w:cs="Arial"/>
                <w:sz w:val="24"/>
              </w:rPr>
            </w:pPr>
            <w:r>
              <w:rPr>
                <w:rFonts w:cs="Arial"/>
                <w:sz w:val="24"/>
              </w:rPr>
              <w:t>4</w:t>
            </w:r>
          </w:p>
        </w:tc>
        <w:tc>
          <w:tcPr>
            <w:tcW w:w="3749" w:type="dxa"/>
          </w:tcPr>
          <w:p w14:paraId="6EFA0FE2"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6838CD4E657E4FE98A9673F39F078769"/>
            </w:placeholder>
            <w:showingPlcHdr/>
          </w:sdtPr>
          <w:sdtEndPr/>
          <w:sdtContent>
            <w:tc>
              <w:tcPr>
                <w:tcW w:w="4536" w:type="dxa"/>
              </w:tcPr>
              <w:p w14:paraId="0A40474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289230D8" w14:textId="77777777" w:rsidTr="79906629">
        <w:trPr>
          <w:trHeight w:val="264"/>
        </w:trPr>
        <w:tc>
          <w:tcPr>
            <w:tcW w:w="8960" w:type="dxa"/>
            <w:gridSpan w:val="3"/>
            <w:shd w:val="clear" w:color="auto" w:fill="F26522" w:themeFill="accent1"/>
          </w:tcPr>
          <w:p w14:paraId="54B46BA3"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D45B26" w:rsidRPr="00CF795B" w14:paraId="3ACADC74" w14:textId="77777777" w:rsidTr="79906629">
        <w:trPr>
          <w:trHeight w:val="264"/>
        </w:trPr>
        <w:tc>
          <w:tcPr>
            <w:tcW w:w="675" w:type="dxa"/>
          </w:tcPr>
          <w:p w14:paraId="4D55BB31" w14:textId="137823A3" w:rsidR="00D45B26" w:rsidRDefault="00D45B26" w:rsidP="00B34474">
            <w:pPr>
              <w:rPr>
                <w:rFonts w:cs="Arial"/>
                <w:sz w:val="24"/>
              </w:rPr>
            </w:pPr>
            <w:r>
              <w:rPr>
                <w:rFonts w:cs="Arial"/>
                <w:sz w:val="24"/>
              </w:rPr>
              <w:t>5</w:t>
            </w:r>
          </w:p>
        </w:tc>
        <w:tc>
          <w:tcPr>
            <w:tcW w:w="3749" w:type="dxa"/>
          </w:tcPr>
          <w:p w14:paraId="6CFB285B" w14:textId="53A0A6D9" w:rsidR="00D45B26" w:rsidRPr="00AE023C" w:rsidRDefault="00A230AB" w:rsidP="00A230AB">
            <w:pPr>
              <w:rPr>
                <w:rFonts w:cs="Arial"/>
                <w:sz w:val="24"/>
                <w:shd w:val="clear" w:color="auto" w:fill="FFFFFF"/>
              </w:rPr>
            </w:pPr>
            <w:r w:rsidRPr="00A230AB">
              <w:rPr>
                <w:rStyle w:val="eop"/>
                <w:rFonts w:cs="Arial"/>
                <w:sz w:val="24"/>
                <w:shd w:val="clear" w:color="auto" w:fill="FFFFFF"/>
              </w:rPr>
              <w:t xml:space="preserve">Do you agree with the proposed solution that one offer with two options (contestable/non-contestable) would represent the best approach? </w:t>
            </w:r>
          </w:p>
        </w:tc>
        <w:tc>
          <w:tcPr>
            <w:tcW w:w="4536" w:type="dxa"/>
          </w:tcPr>
          <w:p w14:paraId="7A4817ED" w14:textId="77777777" w:rsidR="00D45B26" w:rsidRDefault="00D45B26" w:rsidP="00386948">
            <w:pPr>
              <w:rPr>
                <w:rFonts w:cs="Arial"/>
                <w:sz w:val="24"/>
              </w:rPr>
            </w:pPr>
          </w:p>
        </w:tc>
      </w:tr>
      <w:tr w:rsidR="00AE023C" w:rsidRPr="00CF795B" w14:paraId="00C0B5D3" w14:textId="77777777" w:rsidTr="79906629">
        <w:trPr>
          <w:trHeight w:val="264"/>
        </w:trPr>
        <w:tc>
          <w:tcPr>
            <w:tcW w:w="675" w:type="dxa"/>
          </w:tcPr>
          <w:p w14:paraId="3CD8A00D" w14:textId="7C0BFFB8" w:rsidR="00AE023C" w:rsidRDefault="00AE023C" w:rsidP="00B34474">
            <w:pPr>
              <w:rPr>
                <w:rFonts w:cs="Arial"/>
                <w:sz w:val="24"/>
              </w:rPr>
            </w:pPr>
            <w:r>
              <w:rPr>
                <w:rFonts w:cs="Arial"/>
                <w:sz w:val="24"/>
              </w:rPr>
              <w:t>6</w:t>
            </w:r>
          </w:p>
        </w:tc>
        <w:tc>
          <w:tcPr>
            <w:tcW w:w="3749" w:type="dxa"/>
          </w:tcPr>
          <w:p w14:paraId="5D80FA59" w14:textId="2D70A8AB" w:rsidR="00AE023C" w:rsidRPr="00714796" w:rsidRDefault="00714796" w:rsidP="00714796">
            <w:pPr>
              <w:rPr>
                <w:rStyle w:val="eop"/>
                <w:rFonts w:cs="Arial"/>
                <w:sz w:val="24"/>
                <w:shd w:val="clear" w:color="auto" w:fill="FFFFFF"/>
              </w:rPr>
            </w:pPr>
            <w:r w:rsidRPr="00714796">
              <w:rPr>
                <w:sz w:val="24"/>
              </w:rPr>
              <w:t xml:space="preserve">Should there be a process to allow subsequent applicants to take over the contestable build already negotiated with the TO? If so, should this process have a ‘point of no return’ where this option is restricted? </w:t>
            </w:r>
          </w:p>
        </w:tc>
        <w:tc>
          <w:tcPr>
            <w:tcW w:w="4536" w:type="dxa"/>
          </w:tcPr>
          <w:p w14:paraId="38110A30" w14:textId="77777777" w:rsidR="00AE023C" w:rsidRDefault="00AE023C" w:rsidP="00386948">
            <w:pPr>
              <w:rPr>
                <w:rFonts w:cs="Arial"/>
                <w:sz w:val="24"/>
              </w:rPr>
            </w:pPr>
          </w:p>
        </w:tc>
      </w:tr>
      <w:tr w:rsidR="00794A5E" w:rsidRPr="00CF795B" w14:paraId="602E2743" w14:textId="77777777" w:rsidTr="79906629">
        <w:trPr>
          <w:trHeight w:val="264"/>
        </w:trPr>
        <w:tc>
          <w:tcPr>
            <w:tcW w:w="675" w:type="dxa"/>
          </w:tcPr>
          <w:p w14:paraId="0B68A623" w14:textId="760C8E21" w:rsidR="00794A5E" w:rsidRPr="00CF795B" w:rsidRDefault="00F84ABC" w:rsidP="00B34474">
            <w:pPr>
              <w:rPr>
                <w:rFonts w:cs="Arial"/>
                <w:sz w:val="24"/>
              </w:rPr>
            </w:pPr>
            <w:r>
              <w:rPr>
                <w:rFonts w:cs="Arial"/>
                <w:sz w:val="24"/>
              </w:rPr>
              <w:t>7</w:t>
            </w:r>
          </w:p>
        </w:tc>
        <w:tc>
          <w:tcPr>
            <w:tcW w:w="3749" w:type="dxa"/>
          </w:tcPr>
          <w:p w14:paraId="48BA541F" w14:textId="01E277E1" w:rsidR="00A21162" w:rsidRPr="006178AF" w:rsidRDefault="006178AF" w:rsidP="006178AF">
            <w:pPr>
              <w:rPr>
                <w:rFonts w:cs="Arial"/>
                <w:sz w:val="24"/>
                <w:shd w:val="clear" w:color="auto" w:fill="FFFFFF"/>
              </w:rPr>
            </w:pPr>
            <w:r w:rsidRPr="006178AF">
              <w:rPr>
                <w:sz w:val="24"/>
              </w:rPr>
              <w:t>Are the proposed intervention criteria sufficient? Are there any additional criteria that should be considered? Please provide your views.</w:t>
            </w:r>
            <w:r w:rsidRPr="006178AF">
              <w:rPr>
                <w:rStyle w:val="normaltextrun"/>
                <w:rFonts w:cs="Arial"/>
                <w:sz w:val="24"/>
                <w:shd w:val="clear" w:color="auto" w:fill="FFFFFF"/>
              </w:rPr>
              <w:t> </w:t>
            </w:r>
          </w:p>
        </w:tc>
        <w:sdt>
          <w:sdtPr>
            <w:rPr>
              <w:rFonts w:cs="Arial"/>
              <w:sz w:val="24"/>
            </w:rPr>
            <w:id w:val="-55248386"/>
            <w:placeholder>
              <w:docPart w:val="6838CD4E657E4FE98A9673F39F078769"/>
            </w:placeholder>
            <w:showingPlcHdr/>
          </w:sdtPr>
          <w:sdtEndPr/>
          <w:sdtContent>
            <w:tc>
              <w:tcPr>
                <w:tcW w:w="4536" w:type="dxa"/>
              </w:tcPr>
              <w:p w14:paraId="2F3A0713"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632FC61D" w14:textId="77777777" w:rsidTr="79906629">
        <w:trPr>
          <w:trHeight w:val="264"/>
        </w:trPr>
        <w:tc>
          <w:tcPr>
            <w:tcW w:w="675" w:type="dxa"/>
          </w:tcPr>
          <w:p w14:paraId="65A51A7E" w14:textId="021C8735" w:rsidR="00794A5E" w:rsidRPr="00CF795B" w:rsidRDefault="00F84ABC" w:rsidP="00B34474">
            <w:pPr>
              <w:rPr>
                <w:rFonts w:cs="Arial"/>
                <w:sz w:val="24"/>
              </w:rPr>
            </w:pPr>
            <w:r>
              <w:rPr>
                <w:rFonts w:cs="Arial"/>
                <w:sz w:val="24"/>
              </w:rPr>
              <w:t>8</w:t>
            </w:r>
          </w:p>
        </w:tc>
        <w:tc>
          <w:tcPr>
            <w:tcW w:w="3749" w:type="dxa"/>
          </w:tcPr>
          <w:p w14:paraId="09F635DC" w14:textId="304DD115" w:rsidR="00FB6E16" w:rsidRPr="00350583" w:rsidRDefault="00350583" w:rsidP="00350583">
            <w:pPr>
              <w:rPr>
                <w:rFonts w:cs="Arial"/>
                <w:sz w:val="24"/>
                <w:shd w:val="clear" w:color="auto" w:fill="FFFFFF"/>
              </w:rPr>
            </w:pPr>
            <w:r w:rsidRPr="00350583">
              <w:rPr>
                <w:sz w:val="24"/>
              </w:rPr>
              <w:t xml:space="preserve">Do you agree that no additional safeguards are required for the delivery of non-shared Infrastructure Assets via contestable works? If not, what protections would you wish to see? </w:t>
            </w:r>
          </w:p>
        </w:tc>
        <w:sdt>
          <w:sdtPr>
            <w:rPr>
              <w:rFonts w:cs="Arial"/>
              <w:sz w:val="24"/>
            </w:rPr>
            <w:id w:val="617333534"/>
            <w:placeholder>
              <w:docPart w:val="6838CD4E657E4FE98A9673F39F078769"/>
            </w:placeholder>
            <w:showingPlcHdr/>
          </w:sdtPr>
          <w:sdtEndPr/>
          <w:sdtContent>
            <w:tc>
              <w:tcPr>
                <w:tcW w:w="4536" w:type="dxa"/>
              </w:tcPr>
              <w:p w14:paraId="457CE37B"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5B689D91" w14:textId="77777777" w:rsidTr="79906629">
        <w:trPr>
          <w:trHeight w:val="264"/>
        </w:trPr>
        <w:tc>
          <w:tcPr>
            <w:tcW w:w="675" w:type="dxa"/>
          </w:tcPr>
          <w:p w14:paraId="3AD03DF9" w14:textId="70A1A6AB" w:rsidR="00794A5E" w:rsidRPr="00CF795B" w:rsidRDefault="00F84ABC" w:rsidP="00B34474">
            <w:pPr>
              <w:rPr>
                <w:rFonts w:cs="Arial"/>
                <w:sz w:val="24"/>
              </w:rPr>
            </w:pPr>
            <w:r>
              <w:rPr>
                <w:rFonts w:cs="Arial"/>
                <w:sz w:val="24"/>
              </w:rPr>
              <w:t>9</w:t>
            </w:r>
          </w:p>
        </w:tc>
        <w:tc>
          <w:tcPr>
            <w:tcW w:w="3749" w:type="dxa"/>
          </w:tcPr>
          <w:p w14:paraId="61E64176" w14:textId="1B34186E" w:rsidR="00AD58F9" w:rsidRPr="00B5761D" w:rsidRDefault="00B5761D" w:rsidP="00B5761D">
            <w:pPr>
              <w:rPr>
                <w:rFonts w:cs="Arial"/>
                <w:sz w:val="24"/>
                <w:shd w:val="clear" w:color="auto" w:fill="FFFFFF"/>
              </w:rPr>
            </w:pPr>
            <w:r w:rsidRPr="00B5761D">
              <w:rPr>
                <w:sz w:val="24"/>
              </w:rPr>
              <w:t>Do you agree with the principles of what needs to be included in the Adoption agreement as set out in Annex 4.</w:t>
            </w:r>
          </w:p>
        </w:tc>
        <w:sdt>
          <w:sdtPr>
            <w:rPr>
              <w:rFonts w:cs="Arial"/>
              <w:sz w:val="24"/>
            </w:rPr>
            <w:id w:val="-1535264714"/>
            <w:placeholder>
              <w:docPart w:val="6838CD4E657E4FE98A9673F39F078769"/>
            </w:placeholder>
            <w:showingPlcHdr/>
          </w:sdtPr>
          <w:sdtEndPr/>
          <w:sdtContent>
            <w:tc>
              <w:tcPr>
                <w:tcW w:w="4536" w:type="dxa"/>
              </w:tcPr>
              <w:p w14:paraId="596A3B0F"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6F2EBB" w:rsidRPr="00CF795B" w14:paraId="72541D81" w14:textId="77777777" w:rsidTr="79906629">
        <w:trPr>
          <w:trHeight w:val="264"/>
        </w:trPr>
        <w:tc>
          <w:tcPr>
            <w:tcW w:w="675" w:type="dxa"/>
          </w:tcPr>
          <w:p w14:paraId="2AFD2A23" w14:textId="51005099" w:rsidR="006F2EBB" w:rsidRDefault="00F84ABC" w:rsidP="00B34474">
            <w:pPr>
              <w:rPr>
                <w:rFonts w:cs="Arial"/>
                <w:sz w:val="24"/>
              </w:rPr>
            </w:pPr>
            <w:r>
              <w:rPr>
                <w:rFonts w:cs="Arial"/>
                <w:sz w:val="24"/>
              </w:rPr>
              <w:lastRenderedPageBreak/>
              <w:t>10</w:t>
            </w:r>
          </w:p>
        </w:tc>
        <w:tc>
          <w:tcPr>
            <w:tcW w:w="3749" w:type="dxa"/>
          </w:tcPr>
          <w:p w14:paraId="4D465652" w14:textId="1584E40F" w:rsidR="006F2EBB" w:rsidRPr="00ED7C59" w:rsidRDefault="00ED7C59" w:rsidP="00ED7C59">
            <w:pPr>
              <w:rPr>
                <w:rFonts w:cs="Arial"/>
                <w:sz w:val="24"/>
                <w:shd w:val="clear" w:color="auto" w:fill="FFFFFF"/>
              </w:rPr>
            </w:pPr>
            <w:r w:rsidRPr="00ED7C59">
              <w:rPr>
                <w:sz w:val="24"/>
              </w:rPr>
              <w:t>A potential alternative solution is that the contestability could be limited to just 132kV in Scotland, which in the Proposer's view is in line with treatment of 132kV in England and Wales. Do you think this is appropriate? Please provide justification for your views.</w:t>
            </w:r>
          </w:p>
        </w:tc>
        <w:tc>
          <w:tcPr>
            <w:tcW w:w="4536" w:type="dxa"/>
          </w:tcPr>
          <w:p w14:paraId="1E6A6291" w14:textId="77777777" w:rsidR="006F2EBB" w:rsidRDefault="006F2EBB" w:rsidP="00386948">
            <w:pPr>
              <w:rPr>
                <w:rFonts w:cs="Arial"/>
                <w:sz w:val="24"/>
              </w:rPr>
            </w:pPr>
          </w:p>
        </w:tc>
      </w:tr>
      <w:tr w:rsidR="00AF530C" w:rsidRPr="00CF795B" w14:paraId="797FBD3C" w14:textId="77777777" w:rsidTr="79906629">
        <w:trPr>
          <w:trHeight w:val="264"/>
        </w:trPr>
        <w:tc>
          <w:tcPr>
            <w:tcW w:w="675" w:type="dxa"/>
          </w:tcPr>
          <w:p w14:paraId="547079E3" w14:textId="4FC9CC14" w:rsidR="00AF530C" w:rsidRDefault="00F84ABC" w:rsidP="00B34474">
            <w:pPr>
              <w:rPr>
                <w:rFonts w:cs="Arial"/>
                <w:sz w:val="24"/>
              </w:rPr>
            </w:pPr>
            <w:r>
              <w:rPr>
                <w:rFonts w:cs="Arial"/>
                <w:sz w:val="24"/>
              </w:rPr>
              <w:t>11</w:t>
            </w:r>
          </w:p>
        </w:tc>
        <w:tc>
          <w:tcPr>
            <w:tcW w:w="3749" w:type="dxa"/>
          </w:tcPr>
          <w:p w14:paraId="7A00D087" w14:textId="1B4506B0" w:rsidR="00AF530C" w:rsidRPr="00BC3156" w:rsidRDefault="00BC3156" w:rsidP="00BC3156">
            <w:pPr>
              <w:rPr>
                <w:rFonts w:cs="Arial"/>
                <w:sz w:val="24"/>
                <w:shd w:val="clear" w:color="auto" w:fill="FFFFFF"/>
              </w:rPr>
            </w:pPr>
            <w:r w:rsidRPr="00BC3156">
              <w:rPr>
                <w:sz w:val="24"/>
              </w:rPr>
              <w:t>Are there any issues for stakeholders to extend contestability to building assets above 132kV.</w:t>
            </w:r>
          </w:p>
        </w:tc>
        <w:tc>
          <w:tcPr>
            <w:tcW w:w="4536" w:type="dxa"/>
          </w:tcPr>
          <w:p w14:paraId="0C4CCDCC" w14:textId="77777777" w:rsidR="00AF530C" w:rsidRDefault="00AF530C" w:rsidP="00386948">
            <w:pPr>
              <w:rPr>
                <w:rFonts w:cs="Arial"/>
                <w:sz w:val="24"/>
              </w:rPr>
            </w:pPr>
          </w:p>
        </w:tc>
      </w:tr>
      <w:tr w:rsidR="00C659C6" w:rsidRPr="00CF795B" w14:paraId="5E9E5C05" w14:textId="77777777" w:rsidTr="79906629">
        <w:trPr>
          <w:trHeight w:val="264"/>
        </w:trPr>
        <w:tc>
          <w:tcPr>
            <w:tcW w:w="675" w:type="dxa"/>
          </w:tcPr>
          <w:p w14:paraId="72B551B4" w14:textId="1FB3F75F" w:rsidR="00C659C6" w:rsidRDefault="00C659C6" w:rsidP="00B34474">
            <w:pPr>
              <w:rPr>
                <w:rFonts w:cs="Arial"/>
                <w:sz w:val="24"/>
              </w:rPr>
            </w:pPr>
            <w:r>
              <w:rPr>
                <w:rFonts w:cs="Arial"/>
                <w:sz w:val="24"/>
              </w:rPr>
              <w:t>1</w:t>
            </w:r>
            <w:r w:rsidR="00F84ABC">
              <w:rPr>
                <w:rFonts w:cs="Arial"/>
                <w:sz w:val="24"/>
              </w:rPr>
              <w:t>2</w:t>
            </w:r>
          </w:p>
        </w:tc>
        <w:tc>
          <w:tcPr>
            <w:tcW w:w="3749" w:type="dxa"/>
          </w:tcPr>
          <w:p w14:paraId="310C5A4E" w14:textId="1B07DF9E" w:rsidR="00BD49F6" w:rsidRPr="006A2D06" w:rsidRDefault="006A2D06" w:rsidP="006A2D06">
            <w:pPr>
              <w:rPr>
                <w:rFonts w:cs="Arial"/>
                <w:sz w:val="24"/>
                <w:shd w:val="clear" w:color="auto" w:fill="FFFFFF"/>
              </w:rPr>
            </w:pPr>
            <w:r w:rsidRPr="006A2D06">
              <w:rPr>
                <w:sz w:val="24"/>
              </w:rPr>
              <w:t>Will the CMP330/374 Original Proposal / possible alternatives impact your business. If so, how?</w:t>
            </w:r>
            <w:r w:rsidRPr="006A2D06">
              <w:rPr>
                <w:rStyle w:val="eop"/>
                <w:rFonts w:cs="Arial"/>
                <w:sz w:val="24"/>
                <w:shd w:val="clear" w:color="auto" w:fill="FFFFFF"/>
              </w:rPr>
              <w:t> </w:t>
            </w:r>
          </w:p>
        </w:tc>
        <w:tc>
          <w:tcPr>
            <w:tcW w:w="4536" w:type="dxa"/>
          </w:tcPr>
          <w:p w14:paraId="41F13C2D" w14:textId="77777777" w:rsidR="00C659C6" w:rsidRDefault="00C659C6" w:rsidP="00386948">
            <w:pPr>
              <w:rPr>
                <w:rFonts w:cs="Arial"/>
                <w:sz w:val="24"/>
              </w:rPr>
            </w:pPr>
          </w:p>
        </w:tc>
      </w:tr>
      <w:tr w:rsidR="000E69D5" w:rsidRPr="00CF795B" w14:paraId="4025EAD0" w14:textId="77777777" w:rsidTr="79906629">
        <w:trPr>
          <w:trHeight w:val="264"/>
        </w:trPr>
        <w:tc>
          <w:tcPr>
            <w:tcW w:w="675" w:type="dxa"/>
          </w:tcPr>
          <w:p w14:paraId="028555F5" w14:textId="7E935847" w:rsidR="000E69D5" w:rsidRDefault="000E69D5" w:rsidP="00B34474">
            <w:pPr>
              <w:rPr>
                <w:rFonts w:cs="Arial"/>
                <w:sz w:val="24"/>
              </w:rPr>
            </w:pPr>
            <w:r>
              <w:rPr>
                <w:rFonts w:cs="Arial"/>
                <w:sz w:val="24"/>
              </w:rPr>
              <w:t>1</w:t>
            </w:r>
            <w:r w:rsidR="00F84ABC">
              <w:rPr>
                <w:rFonts w:cs="Arial"/>
                <w:sz w:val="24"/>
              </w:rPr>
              <w:t>3</w:t>
            </w:r>
          </w:p>
        </w:tc>
        <w:tc>
          <w:tcPr>
            <w:tcW w:w="3749" w:type="dxa"/>
          </w:tcPr>
          <w:p w14:paraId="503F4C9A" w14:textId="40486F2C" w:rsidR="000E69D5" w:rsidRPr="006A4953" w:rsidRDefault="006A4953" w:rsidP="006A4953">
            <w:pPr>
              <w:rPr>
                <w:rFonts w:cs="Arial"/>
                <w:sz w:val="24"/>
                <w:shd w:val="clear" w:color="auto" w:fill="FFFFFF"/>
              </w:rPr>
            </w:pPr>
            <w:r w:rsidRPr="006A4953">
              <w:rPr>
                <w:sz w:val="24"/>
              </w:rPr>
              <w:t xml:space="preserve">Do you think this change will benefit your organisation, other organisations, or end consumers? Please provide evidence and/or examples to support this.  </w:t>
            </w:r>
          </w:p>
        </w:tc>
        <w:tc>
          <w:tcPr>
            <w:tcW w:w="4536" w:type="dxa"/>
          </w:tcPr>
          <w:p w14:paraId="276A9D6B" w14:textId="77777777" w:rsidR="000E69D5" w:rsidRDefault="000E69D5" w:rsidP="00386948">
            <w:pPr>
              <w:rPr>
                <w:rFonts w:cs="Arial"/>
                <w:sz w:val="24"/>
              </w:rPr>
            </w:pPr>
          </w:p>
        </w:tc>
      </w:tr>
      <w:tr w:rsidR="00F84ABC" w:rsidRPr="00CF795B" w14:paraId="61329991" w14:textId="77777777" w:rsidTr="79906629">
        <w:trPr>
          <w:trHeight w:val="264"/>
        </w:trPr>
        <w:tc>
          <w:tcPr>
            <w:tcW w:w="675" w:type="dxa"/>
          </w:tcPr>
          <w:p w14:paraId="43C8E84B" w14:textId="443F1301" w:rsidR="00F84ABC" w:rsidRDefault="00F84ABC" w:rsidP="00B34474">
            <w:pPr>
              <w:rPr>
                <w:rFonts w:cs="Arial"/>
                <w:sz w:val="24"/>
              </w:rPr>
            </w:pPr>
            <w:r>
              <w:rPr>
                <w:rFonts w:cs="Arial"/>
                <w:sz w:val="24"/>
              </w:rPr>
              <w:t>14</w:t>
            </w:r>
          </w:p>
        </w:tc>
        <w:tc>
          <w:tcPr>
            <w:tcW w:w="3749" w:type="dxa"/>
          </w:tcPr>
          <w:p w14:paraId="0D845952" w14:textId="41C95C82" w:rsidR="00F84ABC" w:rsidRPr="004176AB" w:rsidRDefault="004176AB" w:rsidP="004176AB">
            <w:pPr>
              <w:rPr>
                <w:rFonts w:cs="Arial"/>
                <w:sz w:val="24"/>
                <w:shd w:val="clear" w:color="auto" w:fill="FFFFFF"/>
              </w:rPr>
            </w:pPr>
            <w:r w:rsidRPr="004176AB">
              <w:rPr>
                <w:sz w:val="24"/>
              </w:rPr>
              <w:t>Do you believe this proposal brings forward any additional risks of the Onshore TO’s, other than those already identified?  Do you think a license change is required to mitigate the risks fu</w:t>
            </w:r>
            <w:r w:rsidRPr="004176AB">
              <w:rPr>
                <w:sz w:val="24"/>
              </w:rPr>
              <w:t>l</w:t>
            </w:r>
            <w:r w:rsidRPr="004176AB">
              <w:rPr>
                <w:sz w:val="24"/>
              </w:rPr>
              <w:t>ly?  </w:t>
            </w:r>
          </w:p>
        </w:tc>
        <w:tc>
          <w:tcPr>
            <w:tcW w:w="4536" w:type="dxa"/>
          </w:tcPr>
          <w:p w14:paraId="29634AA0" w14:textId="77777777" w:rsidR="00F84ABC" w:rsidRDefault="00F84ABC" w:rsidP="00386948">
            <w:pPr>
              <w:rPr>
                <w:rFonts w:cs="Arial"/>
                <w:sz w:val="24"/>
              </w:rPr>
            </w:pPr>
          </w:p>
        </w:tc>
      </w:tr>
    </w:tbl>
    <w:p w14:paraId="08491B10" w14:textId="77777777" w:rsidR="0006725A" w:rsidRPr="00CF795B" w:rsidRDefault="0006725A" w:rsidP="0006725A">
      <w:pPr>
        <w:pStyle w:val="BodyText"/>
        <w:ind w:right="-97"/>
        <w:rPr>
          <w:b/>
          <w:sz w:val="24"/>
        </w:rPr>
      </w:pPr>
    </w:p>
    <w:p w14:paraId="779FD840"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53D35" w14:textId="77777777" w:rsidR="008E65C3" w:rsidRDefault="008E65C3" w:rsidP="0006725A">
      <w:pPr>
        <w:spacing w:line="240" w:lineRule="auto"/>
      </w:pPr>
      <w:r>
        <w:separator/>
      </w:r>
    </w:p>
  </w:endnote>
  <w:endnote w:type="continuationSeparator" w:id="0">
    <w:p w14:paraId="0199FBFA" w14:textId="77777777" w:rsidR="008E65C3" w:rsidRDefault="008E65C3" w:rsidP="0006725A">
      <w:pPr>
        <w:spacing w:line="240" w:lineRule="auto"/>
      </w:pPr>
      <w:r>
        <w:continuationSeparator/>
      </w:r>
    </w:p>
  </w:endnote>
  <w:endnote w:type="continuationNotice" w:id="1">
    <w:p w14:paraId="25C51323" w14:textId="77777777" w:rsidR="008E65C3" w:rsidRDefault="008E65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2EA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D587E27" w14:textId="77777777" w:rsidR="00B305B6" w:rsidRDefault="00B2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A47FC" w14:textId="77777777" w:rsidR="008E65C3" w:rsidRDefault="008E65C3" w:rsidP="0006725A">
      <w:pPr>
        <w:spacing w:line="240" w:lineRule="auto"/>
      </w:pPr>
      <w:r>
        <w:separator/>
      </w:r>
    </w:p>
  </w:footnote>
  <w:footnote w:type="continuationSeparator" w:id="0">
    <w:p w14:paraId="78C85184" w14:textId="77777777" w:rsidR="008E65C3" w:rsidRDefault="008E65C3" w:rsidP="0006725A">
      <w:pPr>
        <w:spacing w:line="240" w:lineRule="auto"/>
      </w:pPr>
      <w:r>
        <w:continuationSeparator/>
      </w:r>
    </w:p>
  </w:footnote>
  <w:footnote w:type="continuationNotice" w:id="1">
    <w:p w14:paraId="7C83887B" w14:textId="77777777" w:rsidR="008E65C3" w:rsidRDefault="008E65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DFC40" w14:textId="791FF926" w:rsidR="00A63A1C" w:rsidRDefault="0006725A" w:rsidP="00A63A1C">
    <w:pPr>
      <w:pStyle w:val="Header"/>
      <w:ind w:left="720" w:firstLine="720"/>
      <w:jc w:val="right"/>
    </w:pPr>
    <w:r>
      <w:rPr>
        <w:noProof/>
      </w:rPr>
      <w:drawing>
        <wp:anchor distT="0" distB="0" distL="114300" distR="114300" simplePos="0" relativeHeight="251659264" behindDoc="0" locked="1" layoutInCell="1" allowOverlap="1" wp14:anchorId="73C4CA1C" wp14:editId="5F8A7BCC">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D64BD6" w:rsidRPr="00840AC3">
      <w:t>CMP</w:t>
    </w:r>
    <w:r w:rsidR="00BE7593" w:rsidRPr="00840AC3">
      <w:t>330</w:t>
    </w:r>
    <w:r w:rsidR="005C4598">
      <w:t>/CMP374</w:t>
    </w:r>
    <w:r w:rsidR="00DF10F2">
      <w:tab/>
    </w:r>
    <w:r w:rsidR="00DF10F2" w:rsidRPr="00C8499A">
      <w:t xml:space="preserve">Published on </w:t>
    </w:r>
    <w:r w:rsidR="005C4598">
      <w:t>1</w:t>
    </w:r>
    <w:r w:rsidR="00043D7C">
      <w:t>7</w:t>
    </w:r>
    <w:r w:rsidR="00E63832" w:rsidRPr="00840AC3">
      <w:t>/</w:t>
    </w:r>
    <w:r w:rsidR="005C4598">
      <w:t>12</w:t>
    </w:r>
    <w:r w:rsidR="00E63832" w:rsidRPr="00840AC3">
      <w:t>/</w:t>
    </w:r>
    <w:r w:rsidR="00840AC3" w:rsidRPr="00840AC3">
      <w:t>2021</w:t>
    </w:r>
    <w:r w:rsidR="00DF10F2" w:rsidRPr="00840AC3">
      <w:t xml:space="preserve"> - respond by 5pm on </w:t>
    </w:r>
    <w:r w:rsidR="00840AC3" w:rsidRPr="00840AC3">
      <w:t>1</w:t>
    </w:r>
    <w:r w:rsidR="00043D7C">
      <w:t>7</w:t>
    </w:r>
    <w:r w:rsidR="00E63832" w:rsidRPr="00840AC3">
      <w:t>/</w:t>
    </w:r>
    <w:r w:rsidR="00840AC3" w:rsidRPr="00840AC3">
      <w:t>0</w:t>
    </w:r>
    <w:r w:rsidR="005C4598">
      <w:t>1</w:t>
    </w:r>
    <w:r w:rsidR="00E63832" w:rsidRPr="00840AC3">
      <w:t>/</w:t>
    </w:r>
    <w:r w:rsidR="00840AC3" w:rsidRPr="00840AC3">
      <w:t>202</w:t>
    </w:r>
    <w:r w:rsidR="005C4598">
      <w:t>2</w:t>
    </w:r>
  </w:p>
  <w:p w14:paraId="6A52FA8A" w14:textId="77777777" w:rsidR="004B76AD" w:rsidRDefault="00B25C8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581C59"/>
    <w:multiLevelType w:val="hybridMultilevel"/>
    <w:tmpl w:val="605299A0"/>
    <w:lvl w:ilvl="0" w:tplc="C9B6C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93"/>
    <w:rsid w:val="00004E80"/>
    <w:rsid w:val="00017BEB"/>
    <w:rsid w:val="000245EC"/>
    <w:rsid w:val="00043D7C"/>
    <w:rsid w:val="0005398C"/>
    <w:rsid w:val="00056499"/>
    <w:rsid w:val="0006725A"/>
    <w:rsid w:val="000C0687"/>
    <w:rsid w:val="000D146E"/>
    <w:rsid w:val="000E273C"/>
    <w:rsid w:val="000E69D5"/>
    <w:rsid w:val="00101C71"/>
    <w:rsid w:val="0010414F"/>
    <w:rsid w:val="00120E3B"/>
    <w:rsid w:val="00132DB3"/>
    <w:rsid w:val="00135ED3"/>
    <w:rsid w:val="00136436"/>
    <w:rsid w:val="00152139"/>
    <w:rsid w:val="00160916"/>
    <w:rsid w:val="00174B8F"/>
    <w:rsid w:val="0017512D"/>
    <w:rsid w:val="00183D8D"/>
    <w:rsid w:val="0019372D"/>
    <w:rsid w:val="001A1167"/>
    <w:rsid w:val="001D752D"/>
    <w:rsid w:val="001E1C2F"/>
    <w:rsid w:val="001F1DFE"/>
    <w:rsid w:val="001F7E62"/>
    <w:rsid w:val="00200B5D"/>
    <w:rsid w:val="00215F53"/>
    <w:rsid w:val="00217075"/>
    <w:rsid w:val="00223322"/>
    <w:rsid w:val="0022671C"/>
    <w:rsid w:val="00265E05"/>
    <w:rsid w:val="00281C6D"/>
    <w:rsid w:val="00295002"/>
    <w:rsid w:val="002A7119"/>
    <w:rsid w:val="002B4753"/>
    <w:rsid w:val="002C41E9"/>
    <w:rsid w:val="002D2F08"/>
    <w:rsid w:val="002D7074"/>
    <w:rsid w:val="002E610D"/>
    <w:rsid w:val="002E70CD"/>
    <w:rsid w:val="00306C8C"/>
    <w:rsid w:val="00306E1C"/>
    <w:rsid w:val="003277A6"/>
    <w:rsid w:val="00330039"/>
    <w:rsid w:val="00350583"/>
    <w:rsid w:val="00377FAB"/>
    <w:rsid w:val="00386948"/>
    <w:rsid w:val="003B4205"/>
    <w:rsid w:val="003B51E4"/>
    <w:rsid w:val="003C60F9"/>
    <w:rsid w:val="003C6C26"/>
    <w:rsid w:val="00410817"/>
    <w:rsid w:val="004176AB"/>
    <w:rsid w:val="00441BF4"/>
    <w:rsid w:val="004902FA"/>
    <w:rsid w:val="004B5AC8"/>
    <w:rsid w:val="00526C32"/>
    <w:rsid w:val="00540D4E"/>
    <w:rsid w:val="0054636A"/>
    <w:rsid w:val="00594E52"/>
    <w:rsid w:val="005A11B1"/>
    <w:rsid w:val="005A7FFB"/>
    <w:rsid w:val="005C4598"/>
    <w:rsid w:val="005D7E5E"/>
    <w:rsid w:val="006103A5"/>
    <w:rsid w:val="0061066E"/>
    <w:rsid w:val="00611484"/>
    <w:rsid w:val="006178AF"/>
    <w:rsid w:val="00630ACC"/>
    <w:rsid w:val="006329D3"/>
    <w:rsid w:val="006534EE"/>
    <w:rsid w:val="00664227"/>
    <w:rsid w:val="00672A3D"/>
    <w:rsid w:val="00677103"/>
    <w:rsid w:val="006A2D06"/>
    <w:rsid w:val="006A4953"/>
    <w:rsid w:val="006A7036"/>
    <w:rsid w:val="006C0224"/>
    <w:rsid w:val="006C393A"/>
    <w:rsid w:val="006D6ECC"/>
    <w:rsid w:val="006F2EBB"/>
    <w:rsid w:val="006F7B19"/>
    <w:rsid w:val="00713E51"/>
    <w:rsid w:val="00714796"/>
    <w:rsid w:val="007237CC"/>
    <w:rsid w:val="0073504D"/>
    <w:rsid w:val="00745335"/>
    <w:rsid w:val="00760AB5"/>
    <w:rsid w:val="00790E02"/>
    <w:rsid w:val="00794A5E"/>
    <w:rsid w:val="007B0D69"/>
    <w:rsid w:val="007D0BAB"/>
    <w:rsid w:val="007D2FBD"/>
    <w:rsid w:val="007D6F76"/>
    <w:rsid w:val="00811809"/>
    <w:rsid w:val="00836CFF"/>
    <w:rsid w:val="00840AC3"/>
    <w:rsid w:val="00843E43"/>
    <w:rsid w:val="00867B72"/>
    <w:rsid w:val="0087689D"/>
    <w:rsid w:val="00881692"/>
    <w:rsid w:val="008E65C3"/>
    <w:rsid w:val="00907F8E"/>
    <w:rsid w:val="009831DA"/>
    <w:rsid w:val="009B165D"/>
    <w:rsid w:val="009B3CCB"/>
    <w:rsid w:val="009E00CF"/>
    <w:rsid w:val="009E5AC6"/>
    <w:rsid w:val="009F5642"/>
    <w:rsid w:val="00A10CD1"/>
    <w:rsid w:val="00A132ED"/>
    <w:rsid w:val="00A174AE"/>
    <w:rsid w:val="00A21162"/>
    <w:rsid w:val="00A230AB"/>
    <w:rsid w:val="00A251B7"/>
    <w:rsid w:val="00A32E92"/>
    <w:rsid w:val="00A93811"/>
    <w:rsid w:val="00AC4CF2"/>
    <w:rsid w:val="00AD58F9"/>
    <w:rsid w:val="00AE023C"/>
    <w:rsid w:val="00AF530C"/>
    <w:rsid w:val="00B31B03"/>
    <w:rsid w:val="00B5761D"/>
    <w:rsid w:val="00B657DD"/>
    <w:rsid w:val="00B75DF3"/>
    <w:rsid w:val="00B760EF"/>
    <w:rsid w:val="00B9723E"/>
    <w:rsid w:val="00B97BDE"/>
    <w:rsid w:val="00BC0C34"/>
    <w:rsid w:val="00BC3156"/>
    <w:rsid w:val="00BD020A"/>
    <w:rsid w:val="00BD49F6"/>
    <w:rsid w:val="00BE2538"/>
    <w:rsid w:val="00BE7593"/>
    <w:rsid w:val="00C07B42"/>
    <w:rsid w:val="00C1415A"/>
    <w:rsid w:val="00C204B9"/>
    <w:rsid w:val="00C659C6"/>
    <w:rsid w:val="00C75B3F"/>
    <w:rsid w:val="00C8499A"/>
    <w:rsid w:val="00CB19B2"/>
    <w:rsid w:val="00CB6146"/>
    <w:rsid w:val="00CC6E43"/>
    <w:rsid w:val="00CD0B20"/>
    <w:rsid w:val="00CF795B"/>
    <w:rsid w:val="00D10D34"/>
    <w:rsid w:val="00D1138F"/>
    <w:rsid w:val="00D14DB8"/>
    <w:rsid w:val="00D1705C"/>
    <w:rsid w:val="00D179EE"/>
    <w:rsid w:val="00D45B26"/>
    <w:rsid w:val="00D64BD6"/>
    <w:rsid w:val="00D667F3"/>
    <w:rsid w:val="00D7171A"/>
    <w:rsid w:val="00DB4E95"/>
    <w:rsid w:val="00DD16A0"/>
    <w:rsid w:val="00DF10F2"/>
    <w:rsid w:val="00DF28A5"/>
    <w:rsid w:val="00DF7CA8"/>
    <w:rsid w:val="00E25138"/>
    <w:rsid w:val="00E32B97"/>
    <w:rsid w:val="00E41F07"/>
    <w:rsid w:val="00E5150D"/>
    <w:rsid w:val="00E533AB"/>
    <w:rsid w:val="00E63832"/>
    <w:rsid w:val="00EA3AEA"/>
    <w:rsid w:val="00EB1523"/>
    <w:rsid w:val="00EB55BD"/>
    <w:rsid w:val="00ED65E8"/>
    <w:rsid w:val="00ED7C59"/>
    <w:rsid w:val="00EF6704"/>
    <w:rsid w:val="00F05249"/>
    <w:rsid w:val="00F20303"/>
    <w:rsid w:val="00F20CA0"/>
    <w:rsid w:val="00F21244"/>
    <w:rsid w:val="00F51984"/>
    <w:rsid w:val="00F61649"/>
    <w:rsid w:val="00F711FA"/>
    <w:rsid w:val="00F72ED7"/>
    <w:rsid w:val="00F84ABC"/>
    <w:rsid w:val="00FB0863"/>
    <w:rsid w:val="00FB6E16"/>
    <w:rsid w:val="00FB6E46"/>
    <w:rsid w:val="00FF1A2D"/>
    <w:rsid w:val="7990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7CBB1"/>
  <w15:chartTrackingRefBased/>
  <w15:docId w15:val="{F7D36D6B-3F3F-4DF8-BFB4-94DC1327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paragraph" w:styleId="NormalWeb">
    <w:name w:val="Normal (Web)"/>
    <w:basedOn w:val="Normal"/>
    <w:uiPriority w:val="99"/>
    <w:unhideWhenUsed/>
    <w:rsid w:val="00306E1C"/>
    <w:pPr>
      <w:spacing w:before="100" w:beforeAutospacing="1" w:after="100" w:afterAutospacing="1" w:line="240" w:lineRule="auto"/>
    </w:pPr>
    <w:rPr>
      <w:rFonts w:ascii="Times New Roman" w:hAnsi="Times New Roman"/>
      <w:sz w:val="24"/>
    </w:rPr>
  </w:style>
  <w:style w:type="character" w:customStyle="1" w:styleId="eop">
    <w:name w:val="eop"/>
    <w:basedOn w:val="DefaultParagraphFont"/>
    <w:rsid w:val="004902FA"/>
  </w:style>
  <w:style w:type="character" w:customStyle="1" w:styleId="normaltextrun">
    <w:name w:val="normaltextrun"/>
    <w:basedOn w:val="DefaultParagraphFont"/>
    <w:rsid w:val="004902FA"/>
  </w:style>
  <w:style w:type="paragraph" w:styleId="NoSpacing">
    <w:name w:val="No Spacing"/>
    <w:uiPriority w:val="1"/>
    <w:qFormat/>
    <w:rsid w:val="00AE023C"/>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53323">
      <w:bodyDiv w:val="1"/>
      <w:marLeft w:val="0"/>
      <w:marRight w:val="0"/>
      <w:marTop w:val="0"/>
      <w:marBottom w:val="0"/>
      <w:divBdr>
        <w:top w:val="none" w:sz="0" w:space="0" w:color="auto"/>
        <w:left w:val="none" w:sz="0" w:space="0" w:color="auto"/>
        <w:bottom w:val="none" w:sz="0" w:space="0" w:color="auto"/>
        <w:right w:val="none" w:sz="0" w:space="0" w:color="auto"/>
      </w:divBdr>
    </w:div>
    <w:div w:id="375399515">
      <w:bodyDiv w:val="1"/>
      <w:marLeft w:val="0"/>
      <w:marRight w:val="0"/>
      <w:marTop w:val="0"/>
      <w:marBottom w:val="0"/>
      <w:divBdr>
        <w:top w:val="none" w:sz="0" w:space="0" w:color="auto"/>
        <w:left w:val="none" w:sz="0" w:space="0" w:color="auto"/>
        <w:bottom w:val="none" w:sz="0" w:space="0" w:color="auto"/>
        <w:right w:val="none" w:sz="0" w:space="0" w:color="auto"/>
      </w:divBdr>
    </w:div>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30\Workgroup%20Meetings\Workgroup%20Meeting%203%20-%2014%20December%202020\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7FC595A5BC4882897D1B30724D0257"/>
        <w:category>
          <w:name w:val="General"/>
          <w:gallery w:val="placeholder"/>
        </w:category>
        <w:types>
          <w:type w:val="bbPlcHdr"/>
        </w:types>
        <w:behaviors>
          <w:behavior w:val="content"/>
        </w:behaviors>
        <w:guid w:val="{9A6C553C-3A95-4097-9D02-E6F99DBC968F}"/>
      </w:docPartPr>
      <w:docPartBody>
        <w:p w:rsidR="00552680" w:rsidRDefault="007237CC">
          <w:pPr>
            <w:pStyle w:val="4C7FC595A5BC4882897D1B30724D0257"/>
          </w:pPr>
          <w:r w:rsidRPr="004C39B5">
            <w:rPr>
              <w:rStyle w:val="PlaceholderText"/>
            </w:rPr>
            <w:t>Click or tap here to enter text.</w:t>
          </w:r>
        </w:p>
      </w:docPartBody>
    </w:docPart>
    <w:docPart>
      <w:docPartPr>
        <w:name w:val="3C380007F16A44DB8B0D5C3964518E0D"/>
        <w:category>
          <w:name w:val="General"/>
          <w:gallery w:val="placeholder"/>
        </w:category>
        <w:types>
          <w:type w:val="bbPlcHdr"/>
        </w:types>
        <w:behaviors>
          <w:behavior w:val="content"/>
        </w:behaviors>
        <w:guid w:val="{74D187C9-887E-4D44-80C3-C679A1FE25EA}"/>
      </w:docPartPr>
      <w:docPartBody>
        <w:p w:rsidR="00552680" w:rsidRDefault="007237CC">
          <w:pPr>
            <w:pStyle w:val="3C380007F16A44DB8B0D5C3964518E0D"/>
          </w:pPr>
          <w:r w:rsidRPr="004C39B5">
            <w:rPr>
              <w:rStyle w:val="PlaceholderText"/>
            </w:rPr>
            <w:t>Click or tap here to enter text.</w:t>
          </w:r>
        </w:p>
      </w:docPartBody>
    </w:docPart>
    <w:docPart>
      <w:docPartPr>
        <w:name w:val="9AE05A0D8EC147458260C5DFA016B28B"/>
        <w:category>
          <w:name w:val="General"/>
          <w:gallery w:val="placeholder"/>
        </w:category>
        <w:types>
          <w:type w:val="bbPlcHdr"/>
        </w:types>
        <w:behaviors>
          <w:behavior w:val="content"/>
        </w:behaviors>
        <w:guid w:val="{468A251A-8AED-46A4-9EE7-63D1082F3D6C}"/>
      </w:docPartPr>
      <w:docPartBody>
        <w:p w:rsidR="00552680" w:rsidRDefault="007237CC">
          <w:pPr>
            <w:pStyle w:val="9AE05A0D8EC147458260C5DFA016B28B"/>
          </w:pPr>
          <w:r w:rsidRPr="004C39B5">
            <w:rPr>
              <w:rStyle w:val="PlaceholderText"/>
            </w:rPr>
            <w:t>Click or tap here to enter text.</w:t>
          </w:r>
        </w:p>
      </w:docPartBody>
    </w:docPart>
    <w:docPart>
      <w:docPartPr>
        <w:name w:val="6838CD4E657E4FE98A9673F39F078769"/>
        <w:category>
          <w:name w:val="General"/>
          <w:gallery w:val="placeholder"/>
        </w:category>
        <w:types>
          <w:type w:val="bbPlcHdr"/>
        </w:types>
        <w:behaviors>
          <w:behavior w:val="content"/>
        </w:behaviors>
        <w:guid w:val="{EDAFE2BF-1C65-44BF-AEC0-8475971789E0}"/>
      </w:docPartPr>
      <w:docPartBody>
        <w:p w:rsidR="00552680" w:rsidRDefault="007237CC">
          <w:pPr>
            <w:pStyle w:val="6838CD4E657E4FE98A9673F39F07876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80"/>
    <w:rsid w:val="001E3B06"/>
    <w:rsid w:val="00552680"/>
    <w:rsid w:val="007237CC"/>
    <w:rsid w:val="007B6E9E"/>
    <w:rsid w:val="00BF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9A6"/>
    <w:rPr>
      <w:color w:val="808080"/>
    </w:rPr>
  </w:style>
  <w:style w:type="paragraph" w:customStyle="1" w:styleId="4C7FC595A5BC4882897D1B30724D0257">
    <w:name w:val="4C7FC595A5BC4882897D1B30724D0257"/>
  </w:style>
  <w:style w:type="paragraph" w:customStyle="1" w:styleId="3C380007F16A44DB8B0D5C3964518E0D">
    <w:name w:val="3C380007F16A44DB8B0D5C3964518E0D"/>
  </w:style>
  <w:style w:type="paragraph" w:customStyle="1" w:styleId="9AE05A0D8EC147458260C5DFA016B28B">
    <w:name w:val="9AE05A0D8EC147458260C5DFA016B28B"/>
  </w:style>
  <w:style w:type="paragraph" w:customStyle="1" w:styleId="6838CD4E657E4FE98A9673F39F078769">
    <w:name w:val="6838CD4E657E4FE98A9673F39F078769"/>
  </w:style>
  <w:style w:type="paragraph" w:customStyle="1" w:styleId="4DB002DAA05341F1A1E0E0C2C70F370D">
    <w:name w:val="4DB002DAA05341F1A1E0E0C2C70F370D"/>
    <w:rsid w:val="001E3B06"/>
  </w:style>
  <w:style w:type="paragraph" w:customStyle="1" w:styleId="C6CCA1FB0CB747019295F0703F25F212">
    <w:name w:val="C6CCA1FB0CB747019295F0703F25F212"/>
    <w:rsid w:val="001E3B06"/>
  </w:style>
  <w:style w:type="paragraph" w:customStyle="1" w:styleId="3DE215127C0B4382B1083F9CB090048C">
    <w:name w:val="3DE215127C0B4382B1083F9CB090048C"/>
    <w:rsid w:val="00BF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97b6fe81-1556-4112-94ca-31043ca39b71"/>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71abe4e-f5ff-49cd-8eff-5f4949acc51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40B31CD4-6ED1-4D4E-B313-96E213D9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1</TotalTime>
  <Pages>3</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Lurrentia Walker</cp:lastModifiedBy>
  <cp:revision>2</cp:revision>
  <dcterms:created xsi:type="dcterms:W3CDTF">2021-12-16T19:09:00Z</dcterms:created>
  <dcterms:modified xsi:type="dcterms:W3CDTF">2021-12-16T19:09:00Z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