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0E9B" w14:textId="77777777" w:rsidR="00540D4E" w:rsidRDefault="00540D4E" w:rsidP="00540D4E">
      <w:pPr>
        <w:pStyle w:val="Checklist"/>
        <w:tabs>
          <w:tab w:val="left" w:pos="4111"/>
        </w:tabs>
      </w:pPr>
      <w:r w:rsidRPr="00540D4E">
        <w:t>Workgroup Consultation Response Proforma</w:t>
      </w:r>
    </w:p>
    <w:p w14:paraId="164515B2" w14:textId="77777777" w:rsidR="00EF6704" w:rsidRDefault="00EF6704" w:rsidP="0006725A">
      <w:pPr>
        <w:ind w:right="113"/>
        <w:rPr>
          <w:rFonts w:cs="Arial"/>
          <w:b/>
          <w:sz w:val="24"/>
        </w:rPr>
      </w:pPr>
    </w:p>
    <w:p w14:paraId="735E08C8" w14:textId="77777777" w:rsidR="003C60F9" w:rsidRPr="00760AB5" w:rsidRDefault="00D64BD6" w:rsidP="003C60F9">
      <w:pPr>
        <w:rPr>
          <w:rFonts w:cs="Arial"/>
          <w:b/>
          <w:color w:val="F26522" w:themeColor="accent1"/>
          <w:sz w:val="28"/>
        </w:rPr>
      </w:pPr>
      <w:bookmarkStart w:id="0" w:name="_Hlk31877162"/>
      <w:r>
        <w:rPr>
          <w:rFonts w:cs="Arial"/>
          <w:b/>
          <w:color w:val="F26522" w:themeColor="accent1"/>
          <w:sz w:val="28"/>
        </w:rPr>
        <w:t>CMP</w:t>
      </w:r>
      <w:r w:rsidR="009E1BFB">
        <w:rPr>
          <w:rFonts w:cs="Arial"/>
          <w:b/>
          <w:color w:val="F26522" w:themeColor="accent1"/>
          <w:sz w:val="28"/>
        </w:rPr>
        <w:t>368 &amp; CMP369</w:t>
      </w:r>
    </w:p>
    <w:p w14:paraId="7983C68E" w14:textId="77777777" w:rsidR="003C60F9" w:rsidRPr="00CF795B" w:rsidRDefault="003C60F9" w:rsidP="003C60F9">
      <w:pPr>
        <w:rPr>
          <w:rFonts w:cs="Arial"/>
          <w:b/>
          <w:color w:val="F26522" w:themeColor="accent1"/>
          <w:sz w:val="24"/>
        </w:rPr>
      </w:pPr>
    </w:p>
    <w:bookmarkEnd w:id="0"/>
    <w:p w14:paraId="4F6536F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8FB560F" w14:textId="1DF3130C"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9E1BFB">
          <w:rPr>
            <w:rStyle w:val="Hyperlink"/>
            <w:rFonts w:cs="Arial"/>
            <w:sz w:val="24"/>
          </w:rPr>
          <w:t>cusc.team@nationalgrideso.com</w:t>
        </w:r>
      </w:hyperlink>
      <w:r w:rsidR="00D64BD6" w:rsidRPr="009E1BFB">
        <w:rPr>
          <w:rStyle w:val="Hyperlink"/>
          <w:rFonts w:cs="Arial"/>
          <w:sz w:val="24"/>
        </w:rPr>
        <w:t xml:space="preserve"> </w:t>
      </w:r>
      <w:r w:rsidR="00C204B9" w:rsidRPr="009E1BFB">
        <w:rPr>
          <w:rFonts w:cs="Arial"/>
          <w:spacing w:val="-3"/>
          <w:sz w:val="24"/>
        </w:rPr>
        <w:t xml:space="preserve">by </w:t>
      </w:r>
      <w:r w:rsidR="009E1BFB" w:rsidRPr="009E1BFB">
        <w:rPr>
          <w:rFonts w:cs="Arial"/>
          <w:b/>
          <w:spacing w:val="-3"/>
          <w:sz w:val="24"/>
        </w:rPr>
        <w:t>5</w:t>
      </w:r>
      <w:r w:rsidRPr="009E1BFB">
        <w:rPr>
          <w:rFonts w:cs="Arial"/>
          <w:b/>
          <w:spacing w:val="-3"/>
          <w:sz w:val="24"/>
        </w:rPr>
        <w:t>pm</w:t>
      </w:r>
      <w:r w:rsidRPr="009E1BFB">
        <w:rPr>
          <w:rFonts w:cs="Arial"/>
          <w:spacing w:val="-3"/>
          <w:sz w:val="24"/>
        </w:rPr>
        <w:t xml:space="preserve"> on </w:t>
      </w:r>
      <w:r w:rsidR="001520AC">
        <w:rPr>
          <w:rFonts w:cs="Arial"/>
          <w:b/>
          <w:spacing w:val="-3"/>
          <w:sz w:val="24"/>
        </w:rPr>
        <w:t>2</w:t>
      </w:r>
      <w:r w:rsidR="009E1BFB" w:rsidRPr="009E1BFB">
        <w:rPr>
          <w:rFonts w:cs="Arial"/>
          <w:b/>
          <w:spacing w:val="-3"/>
          <w:sz w:val="24"/>
        </w:rPr>
        <w:t xml:space="preserve"> July 2021</w:t>
      </w:r>
      <w:r w:rsidRPr="009E1BFB">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5D216898" w14:textId="77777777"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9E1BFB">
        <w:rPr>
          <w:rFonts w:cs="Arial"/>
          <w:sz w:val="24"/>
        </w:rPr>
        <w:t>Jennifer Groome</w:t>
      </w:r>
      <w:r w:rsidR="0006725A" w:rsidRPr="00CF795B">
        <w:rPr>
          <w:rFonts w:cs="Arial"/>
          <w:sz w:val="24"/>
        </w:rPr>
        <w:t xml:space="preserve"> </w:t>
      </w:r>
      <w:r w:rsidR="009E1BFB">
        <w:rPr>
          <w:rStyle w:val="Hyperlink"/>
          <w:sz w:val="24"/>
        </w:rPr>
        <w:t>Jennifer.Groome</w:t>
      </w:r>
      <w:r w:rsidR="0006725A" w:rsidRPr="00F61649">
        <w:rPr>
          <w:rStyle w:val="Hyperlink"/>
          <w:sz w:val="24"/>
        </w:rPr>
        <w:t>@nationalgrideso.com</w:t>
      </w:r>
      <w:r w:rsidR="0006725A" w:rsidRPr="00CF795B">
        <w:rPr>
          <w:sz w:val="24"/>
        </w:rPr>
        <w:t xml:space="preserve"> </w:t>
      </w:r>
      <w:r w:rsidR="0006725A" w:rsidRPr="009E1BFB">
        <w:rPr>
          <w:sz w:val="24"/>
        </w:rPr>
        <w:t xml:space="preserve">or </w:t>
      </w:r>
      <w:hyperlink r:id="rId11" w:history="1">
        <w:r w:rsidR="00D64BD6" w:rsidRPr="009E1BFB">
          <w:rPr>
            <w:rStyle w:val="Hyperlink"/>
            <w:rFonts w:cs="Arial"/>
            <w:sz w:val="24"/>
          </w:rPr>
          <w:t>cusc.team@nationalgrideso.com</w:t>
        </w:r>
      </w:hyperlink>
      <w:r w:rsidR="00D64BD6">
        <w:rPr>
          <w:rStyle w:val="Hyperlink"/>
          <w:rFonts w:cs="Arial"/>
          <w:sz w:val="24"/>
          <w:highlight w:val="yellow"/>
        </w:rPr>
        <w:t xml:space="preserve"> </w:t>
      </w:r>
    </w:p>
    <w:p w14:paraId="65B685D4"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2A64EC2" w14:textId="77777777" w:rsidTr="00760AB5">
        <w:trPr>
          <w:trHeight w:val="290"/>
        </w:trPr>
        <w:tc>
          <w:tcPr>
            <w:tcW w:w="3085" w:type="dxa"/>
            <w:shd w:val="clear" w:color="auto" w:fill="F26522" w:themeFill="accent1"/>
          </w:tcPr>
          <w:p w14:paraId="2639047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46CF2A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7EAB605" w14:textId="77777777" w:rsidTr="00760AB5">
        <w:trPr>
          <w:trHeight w:val="238"/>
        </w:trPr>
        <w:tc>
          <w:tcPr>
            <w:tcW w:w="3085" w:type="dxa"/>
          </w:tcPr>
          <w:p w14:paraId="11282AA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88201738BF64F339B97A4347AB54310"/>
            </w:placeholder>
            <w:showingPlcHdr/>
          </w:sdtPr>
          <w:sdtEndPr/>
          <w:sdtContent>
            <w:tc>
              <w:tcPr>
                <w:tcW w:w="5841" w:type="dxa"/>
              </w:tcPr>
              <w:p w14:paraId="4CF897F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6283F90" w14:textId="77777777" w:rsidTr="00760AB5">
        <w:trPr>
          <w:trHeight w:val="238"/>
        </w:trPr>
        <w:tc>
          <w:tcPr>
            <w:tcW w:w="3085" w:type="dxa"/>
          </w:tcPr>
          <w:p w14:paraId="0255CF1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D90CBC2B6CF48AB91D6A573EFCB4397"/>
            </w:placeholder>
            <w:showingPlcHdr/>
          </w:sdtPr>
          <w:sdtEndPr/>
          <w:sdtContent>
            <w:tc>
              <w:tcPr>
                <w:tcW w:w="5841" w:type="dxa"/>
              </w:tcPr>
              <w:p w14:paraId="30F7313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93F25B0" w14:textId="77777777" w:rsidTr="00760AB5">
        <w:trPr>
          <w:trHeight w:val="238"/>
        </w:trPr>
        <w:tc>
          <w:tcPr>
            <w:tcW w:w="3085" w:type="dxa"/>
          </w:tcPr>
          <w:p w14:paraId="211B385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37B581F1EC34658A58BC8C8F96B4497"/>
            </w:placeholder>
            <w:showingPlcHdr/>
          </w:sdtPr>
          <w:sdtEndPr/>
          <w:sdtContent>
            <w:tc>
              <w:tcPr>
                <w:tcW w:w="5841" w:type="dxa"/>
              </w:tcPr>
              <w:p w14:paraId="2C4DA1A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6883815" w14:textId="77777777" w:rsidTr="00760AB5">
        <w:trPr>
          <w:trHeight w:val="238"/>
        </w:trPr>
        <w:tc>
          <w:tcPr>
            <w:tcW w:w="3085" w:type="dxa"/>
          </w:tcPr>
          <w:p w14:paraId="4695963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37B581F1EC34658A58BC8C8F96B4497"/>
            </w:placeholder>
            <w:showingPlcHdr/>
          </w:sdtPr>
          <w:sdtEndPr/>
          <w:sdtContent>
            <w:tc>
              <w:tcPr>
                <w:tcW w:w="5841" w:type="dxa"/>
              </w:tcPr>
              <w:p w14:paraId="73B1C966" w14:textId="77777777" w:rsidR="00760AB5" w:rsidRDefault="00760AB5" w:rsidP="00760AB5">
                <w:pPr>
                  <w:rPr>
                    <w:sz w:val="24"/>
                  </w:rPr>
                </w:pPr>
                <w:r w:rsidRPr="004C39B5">
                  <w:rPr>
                    <w:rStyle w:val="PlaceholderText"/>
                    <w:rFonts w:eastAsiaTheme="minorHAnsi"/>
                  </w:rPr>
                  <w:t>Click or tap here to enter text.</w:t>
                </w:r>
              </w:p>
            </w:tc>
          </w:sdtContent>
        </w:sdt>
      </w:tr>
    </w:tbl>
    <w:p w14:paraId="32DC3201" w14:textId="77777777" w:rsidR="00760AB5" w:rsidRDefault="00760AB5" w:rsidP="00677103">
      <w:pPr>
        <w:pStyle w:val="BodyText"/>
        <w:rPr>
          <w:rFonts w:cs="Arial"/>
          <w:b/>
          <w:sz w:val="24"/>
        </w:rPr>
      </w:pPr>
    </w:p>
    <w:p w14:paraId="447728EE" w14:textId="77777777" w:rsidR="006E77DD" w:rsidRPr="008D7CF7" w:rsidRDefault="006E77DD" w:rsidP="006E77DD">
      <w:pPr>
        <w:rPr>
          <w:rFonts w:asciiTheme="minorHAnsi" w:hAnsiTheme="minorHAnsi" w:cstheme="minorHAnsi"/>
          <w:b/>
          <w:sz w:val="24"/>
          <w:szCs w:val="22"/>
        </w:rPr>
      </w:pPr>
      <w:bookmarkStart w:id="1" w:name="_Hlk66256414"/>
      <w:r w:rsidRPr="008D7CF7">
        <w:rPr>
          <w:rFonts w:asciiTheme="minorHAnsi" w:hAnsiTheme="minorHAnsi" w:cstheme="minorHAnsi"/>
          <w:b/>
          <w:sz w:val="24"/>
          <w:szCs w:val="22"/>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6E77DD" w:rsidRPr="008D7CF7" w14:paraId="476A61E1" w14:textId="77777777" w:rsidTr="008D7CF7">
        <w:tc>
          <w:tcPr>
            <w:tcW w:w="3798" w:type="dxa"/>
          </w:tcPr>
          <w:p w14:paraId="2A6A00C3" w14:textId="77777777" w:rsidR="006E77DD" w:rsidRPr="008D7CF7" w:rsidRDefault="006E77DD" w:rsidP="008D7CF7">
            <w:pPr>
              <w:spacing w:line="240" w:lineRule="auto"/>
              <w:rPr>
                <w:rFonts w:asciiTheme="minorHAnsi" w:hAnsiTheme="minorHAnsi" w:cstheme="minorHAnsi"/>
                <w:sz w:val="22"/>
                <w:szCs w:val="22"/>
              </w:rPr>
            </w:pPr>
            <w:r w:rsidRPr="008D7CF7">
              <w:rPr>
                <w:rFonts w:asciiTheme="minorHAnsi" w:hAnsiTheme="minorHAnsi" w:cstheme="minorHAnsi"/>
                <w:sz w:val="22"/>
                <w:szCs w:val="22"/>
                <w:lang w:val="en-GB"/>
              </w:rPr>
              <w:t>(Please mark the relevant box)</w:t>
            </w:r>
          </w:p>
        </w:tc>
        <w:tc>
          <w:tcPr>
            <w:tcW w:w="2371" w:type="dxa"/>
            <w:hideMark/>
          </w:tcPr>
          <w:p w14:paraId="3FAC0B90" w14:textId="77777777" w:rsidR="006E77DD" w:rsidRPr="008D7CF7" w:rsidRDefault="009D7006"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484469066"/>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Non-Confidential</w:t>
            </w:r>
          </w:p>
        </w:tc>
        <w:tc>
          <w:tcPr>
            <w:tcW w:w="2371" w:type="dxa"/>
            <w:hideMark/>
          </w:tcPr>
          <w:p w14:paraId="46445B2B" w14:textId="77777777" w:rsidR="006E77DD" w:rsidRPr="008D7CF7" w:rsidRDefault="009D7006"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1724056158"/>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Confidential</w:t>
            </w:r>
          </w:p>
        </w:tc>
      </w:tr>
      <w:bookmarkEnd w:id="1"/>
    </w:tbl>
    <w:p w14:paraId="5739C5BC" w14:textId="77777777" w:rsidR="006E77DD" w:rsidRDefault="006E77DD" w:rsidP="006E77DD">
      <w:pPr>
        <w:rPr>
          <w:i/>
        </w:rPr>
      </w:pPr>
    </w:p>
    <w:p w14:paraId="5E63A4B2" w14:textId="77777777" w:rsidR="006E77DD" w:rsidRDefault="006E77DD" w:rsidP="006E77DD">
      <w:pPr>
        <w:rPr>
          <w:i/>
        </w:rPr>
      </w:pPr>
      <w:r>
        <w:rPr>
          <w:i/>
        </w:rPr>
        <w:t>Note: A confidential response will be disclosed to the Authority in full but, unless agreed otherwise, will not be shared with the Panel</w:t>
      </w:r>
      <w:r w:rsidR="000B6E0C">
        <w:rPr>
          <w:i/>
        </w:rPr>
        <w:t>, the Workgroup</w:t>
      </w:r>
      <w:r>
        <w:rPr>
          <w:i/>
        </w:rPr>
        <w:t xml:space="preserve"> or the industry and may therefore not influence the debate to the same extent as a non-confidential response. </w:t>
      </w:r>
    </w:p>
    <w:p w14:paraId="2FB233FB" w14:textId="77777777" w:rsidR="006E77DD" w:rsidRPr="00AC4CF2" w:rsidRDefault="006E77DD" w:rsidP="00677103">
      <w:pPr>
        <w:pStyle w:val="BodyText"/>
        <w:rPr>
          <w:rFonts w:cs="Arial"/>
          <w:b/>
          <w:sz w:val="24"/>
        </w:rPr>
      </w:pPr>
    </w:p>
    <w:p w14:paraId="6280EC90" w14:textId="77777777" w:rsidR="00D64BD6" w:rsidRPr="009E1BFB" w:rsidRDefault="009E1BFB" w:rsidP="009E1BFB">
      <w:pPr>
        <w:pStyle w:val="ListParagraph"/>
        <w:spacing w:after="160" w:line="259" w:lineRule="auto"/>
        <w:ind w:hanging="720"/>
        <w:rPr>
          <w:b/>
          <w:sz w:val="24"/>
          <w:u w:val="single"/>
        </w:rPr>
      </w:pPr>
      <w:r w:rsidRPr="009E1BFB">
        <w:rPr>
          <w:b/>
          <w:sz w:val="24"/>
          <w:u w:val="single"/>
        </w:rPr>
        <w:t>CMP368</w:t>
      </w:r>
    </w:p>
    <w:p w14:paraId="07003BFD" w14:textId="77777777" w:rsidR="009B3CCB" w:rsidRDefault="009B3CCB" w:rsidP="009B3CCB">
      <w:pPr>
        <w:pStyle w:val="BodyText"/>
        <w:rPr>
          <w:b/>
          <w:color w:val="F26522" w:themeColor="accent1"/>
          <w:sz w:val="24"/>
        </w:rPr>
      </w:pPr>
      <w:r>
        <w:rPr>
          <w:b/>
          <w:color w:val="F26522" w:themeColor="accent1"/>
          <w:sz w:val="24"/>
        </w:rPr>
        <w:t xml:space="preserve">For reference the </w:t>
      </w:r>
      <w:r w:rsidR="00D64BD6">
        <w:rPr>
          <w:b/>
          <w:color w:val="F26522" w:themeColor="accent1"/>
          <w:sz w:val="24"/>
        </w:rPr>
        <w:t>A</w:t>
      </w:r>
      <w:r>
        <w:rPr>
          <w:b/>
          <w:color w:val="F26522" w:themeColor="accent1"/>
          <w:sz w:val="24"/>
        </w:rPr>
        <w:t xml:space="preserve">pplicable CUSC (non-charging) </w:t>
      </w:r>
      <w:r w:rsidR="00D64BD6">
        <w:rPr>
          <w:b/>
          <w:color w:val="F26522" w:themeColor="accent1"/>
          <w:sz w:val="24"/>
        </w:rPr>
        <w:t>O</w:t>
      </w:r>
      <w:r>
        <w:rPr>
          <w:b/>
          <w:color w:val="F26522" w:themeColor="accent1"/>
          <w:sz w:val="24"/>
        </w:rPr>
        <w:t xml:space="preserve">bjectives are: </w:t>
      </w:r>
    </w:p>
    <w:p w14:paraId="2F0A0D10" w14:textId="77777777" w:rsidR="009B3CCB" w:rsidRDefault="009B3CCB" w:rsidP="009B3CCB">
      <w:pPr>
        <w:pStyle w:val="ListParagraph"/>
        <w:numPr>
          <w:ilvl w:val="0"/>
          <w:numId w:val="13"/>
        </w:numPr>
        <w:spacing w:after="160" w:line="256" w:lineRule="auto"/>
        <w:rPr>
          <w:i/>
        </w:rPr>
      </w:pPr>
      <w:r>
        <w:rPr>
          <w:i/>
        </w:rPr>
        <w:t>The efficient discharge by the Licensee of the obligations imposed on it by the Act and the Transmission Licence;</w:t>
      </w:r>
    </w:p>
    <w:p w14:paraId="2FA3E279" w14:textId="77777777" w:rsidR="009B3CCB" w:rsidRDefault="009B3CCB" w:rsidP="009B3CCB">
      <w:pPr>
        <w:pStyle w:val="ListParagraph"/>
        <w:numPr>
          <w:ilvl w:val="0"/>
          <w:numId w:val="13"/>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3D34169F" w14:textId="77777777" w:rsidR="009B3CCB" w:rsidRDefault="009B3CCB" w:rsidP="009B3CCB">
      <w:pPr>
        <w:pStyle w:val="ListParagraph"/>
        <w:numPr>
          <w:ilvl w:val="0"/>
          <w:numId w:val="13"/>
        </w:numPr>
        <w:spacing w:after="160" w:line="256" w:lineRule="auto"/>
        <w:rPr>
          <w:i/>
        </w:rPr>
      </w:pPr>
      <w:r>
        <w:rPr>
          <w:i/>
        </w:rPr>
        <w:t>Compliance with the Electricity Regulation and any relevant legally binding decision of the European Commission and/or the Agency *; and</w:t>
      </w:r>
    </w:p>
    <w:p w14:paraId="1254A35D" w14:textId="77777777" w:rsidR="009B3CCB" w:rsidRDefault="009B3CCB" w:rsidP="009B3CCB">
      <w:pPr>
        <w:pStyle w:val="ListParagraph"/>
        <w:numPr>
          <w:ilvl w:val="0"/>
          <w:numId w:val="13"/>
        </w:numPr>
        <w:spacing w:after="160" w:line="256" w:lineRule="auto"/>
        <w:rPr>
          <w:i/>
        </w:rPr>
      </w:pPr>
      <w:r>
        <w:rPr>
          <w:i/>
        </w:rPr>
        <w:t>Promoting efficiency in the implementation and administration of the CUSC arrangements.</w:t>
      </w:r>
    </w:p>
    <w:p w14:paraId="540BD2D8" w14:textId="77777777" w:rsidR="009B3CCB" w:rsidRDefault="009B3CCB" w:rsidP="009B3CCB">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64A47AD0" w14:textId="77777777" w:rsidR="009B3CCB" w:rsidRPr="009E1BFB" w:rsidRDefault="009E1BFB" w:rsidP="009B3CCB">
      <w:pPr>
        <w:spacing w:after="160" w:line="259" w:lineRule="auto"/>
        <w:rPr>
          <w:rFonts w:cs="Arial"/>
          <w:b/>
          <w:sz w:val="24"/>
          <w:u w:val="single"/>
        </w:rPr>
      </w:pPr>
      <w:r w:rsidRPr="009E1BFB">
        <w:rPr>
          <w:rFonts w:cs="Arial"/>
          <w:b/>
          <w:sz w:val="24"/>
          <w:u w:val="single"/>
        </w:rPr>
        <w:t>CMP369</w:t>
      </w:r>
    </w:p>
    <w:p w14:paraId="15086F4E" w14:textId="77777777" w:rsidR="009B3CCB" w:rsidRDefault="009B3CCB" w:rsidP="009B3CCB">
      <w:pPr>
        <w:pStyle w:val="BodyText"/>
        <w:rPr>
          <w:b/>
          <w:color w:val="F26522" w:themeColor="accent1"/>
          <w:sz w:val="24"/>
        </w:rPr>
      </w:pPr>
      <w:r>
        <w:rPr>
          <w:b/>
          <w:color w:val="F26522" w:themeColor="accent1"/>
          <w:sz w:val="24"/>
        </w:rPr>
        <w:t xml:space="preserve">For reference the </w:t>
      </w:r>
      <w:r w:rsidR="00D64BD6">
        <w:rPr>
          <w:b/>
          <w:color w:val="F26522" w:themeColor="accent1"/>
          <w:sz w:val="24"/>
        </w:rPr>
        <w:t>A</w:t>
      </w:r>
      <w:r>
        <w:rPr>
          <w:b/>
          <w:color w:val="F26522" w:themeColor="accent1"/>
          <w:sz w:val="24"/>
        </w:rPr>
        <w:t xml:space="preserve">pplicable CUSC (charging) </w:t>
      </w:r>
      <w:r w:rsidR="00D64BD6">
        <w:rPr>
          <w:b/>
          <w:color w:val="F26522" w:themeColor="accent1"/>
          <w:sz w:val="24"/>
        </w:rPr>
        <w:t>O</w:t>
      </w:r>
      <w:r>
        <w:rPr>
          <w:b/>
          <w:color w:val="F26522" w:themeColor="accent1"/>
          <w:sz w:val="24"/>
        </w:rPr>
        <w:t xml:space="preserve">bjectives are: </w:t>
      </w:r>
    </w:p>
    <w:p w14:paraId="7FA2D2D5" w14:textId="77777777" w:rsidR="009B3CCB" w:rsidRDefault="009B3CCB" w:rsidP="009B3CCB">
      <w:pPr>
        <w:pStyle w:val="BodyText"/>
        <w:numPr>
          <w:ilvl w:val="0"/>
          <w:numId w:val="14"/>
        </w:numPr>
        <w:rPr>
          <w:i/>
        </w:rPr>
      </w:pPr>
      <w:r>
        <w:rPr>
          <w:i/>
        </w:rPr>
        <w:lastRenderedPageBreak/>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247F2ADE" w14:textId="77777777" w:rsidR="009B3CCB" w:rsidRDefault="009B3CCB" w:rsidP="009B3CCB">
      <w:pPr>
        <w:pStyle w:val="BodyText"/>
        <w:numPr>
          <w:ilvl w:val="0"/>
          <w:numId w:val="14"/>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D9C594B" w14:textId="77777777" w:rsidR="009B3CCB" w:rsidRDefault="009B3CCB" w:rsidP="009B3CCB">
      <w:pPr>
        <w:pStyle w:val="BodyText"/>
        <w:numPr>
          <w:ilvl w:val="0"/>
          <w:numId w:val="14"/>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21A7980" w14:textId="77777777" w:rsidR="009B3CCB" w:rsidRDefault="009B3CCB" w:rsidP="009B3CCB">
      <w:pPr>
        <w:pStyle w:val="BodyText"/>
        <w:numPr>
          <w:ilvl w:val="0"/>
          <w:numId w:val="14"/>
        </w:numPr>
        <w:rPr>
          <w:i/>
        </w:rPr>
      </w:pPr>
      <w:r>
        <w:rPr>
          <w:i/>
        </w:rPr>
        <w:t>Compliance with the Electricity Regulation and any relevant legally binding decision of the European Commission and/or the Agency; and</w:t>
      </w:r>
    </w:p>
    <w:p w14:paraId="3CB3E284" w14:textId="77777777" w:rsidR="009B3CCB" w:rsidRDefault="009B3CCB" w:rsidP="009B3CCB">
      <w:pPr>
        <w:pStyle w:val="BodyText"/>
        <w:numPr>
          <w:ilvl w:val="0"/>
          <w:numId w:val="14"/>
        </w:numPr>
        <w:rPr>
          <w:i/>
        </w:rPr>
      </w:pPr>
      <w:r>
        <w:rPr>
          <w:i/>
        </w:rPr>
        <w:t xml:space="preserve">Promoting efficiency in the implementation and administration of the </w:t>
      </w:r>
      <w:r w:rsidR="00281C6D">
        <w:rPr>
          <w:i/>
        </w:rPr>
        <w:t>system charging methodology.</w:t>
      </w:r>
    </w:p>
    <w:p w14:paraId="5C05B293" w14:textId="77777777" w:rsidR="009B3CCB" w:rsidRDefault="009B3CCB" w:rsidP="009B3CCB">
      <w:pPr>
        <w:pStyle w:val="BodyText"/>
        <w:rPr>
          <w:i/>
        </w:rPr>
      </w:pPr>
      <w:r>
        <w:rPr>
          <w:i/>
        </w:rPr>
        <w:t>*Objective (d) refers specifically to European Regulation 2009/714/EC. Reference to the Agency is to the Agency for the Cooperation of Energy Regulators (ACER).</w:t>
      </w:r>
    </w:p>
    <w:p w14:paraId="61A09C53" w14:textId="77777777" w:rsidR="00D64BD6" w:rsidRDefault="009B3CCB" w:rsidP="00D64BD6">
      <w:pPr>
        <w:rPr>
          <w:rFonts w:cs="Arial"/>
          <w:bCs/>
          <w:kern w:val="32"/>
          <w:sz w:val="24"/>
        </w:rPr>
      </w:pPr>
      <w:r>
        <w:rPr>
          <w:rFonts w:cs="Arial"/>
          <w:b/>
          <w:sz w:val="24"/>
        </w:rPr>
        <w:br w:type="page"/>
      </w:r>
      <w:r w:rsidR="00D64BD6" w:rsidRPr="00D64BD6">
        <w:rPr>
          <w:rFonts w:cs="Arial"/>
          <w:bCs/>
          <w:kern w:val="32"/>
          <w:sz w:val="24"/>
        </w:rPr>
        <w:lastRenderedPageBreak/>
        <w:t xml:space="preserve"> </w:t>
      </w:r>
    </w:p>
    <w:p w14:paraId="6999FDB5" w14:textId="77777777" w:rsidR="00697846" w:rsidRPr="00697846" w:rsidRDefault="00697846" w:rsidP="00697846">
      <w:pPr>
        <w:spacing w:after="160" w:line="259" w:lineRule="auto"/>
        <w:rPr>
          <w:i/>
        </w:rPr>
      </w:pPr>
      <w:bookmarkStart w:id="2" w:name="_Hlk65577082"/>
    </w:p>
    <w:bookmarkEnd w:id="2"/>
    <w:p w14:paraId="53A6F5A0"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729D20B"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760AB5" w:rsidRPr="00CF795B" w14:paraId="0275FC13" w14:textId="77777777" w:rsidTr="00697846">
        <w:trPr>
          <w:trHeight w:val="264"/>
        </w:trPr>
        <w:tc>
          <w:tcPr>
            <w:tcW w:w="9527" w:type="dxa"/>
            <w:gridSpan w:val="3"/>
            <w:shd w:val="clear" w:color="auto" w:fill="F26522" w:themeFill="accent1"/>
          </w:tcPr>
          <w:p w14:paraId="2A6BBE73" w14:textId="46F885A6" w:rsidR="00760AB5" w:rsidRPr="00CF795B" w:rsidRDefault="009D3D60" w:rsidP="00B34474">
            <w:pPr>
              <w:ind w:left="-79"/>
              <w:rPr>
                <w:rFonts w:cs="Arial"/>
                <w:b/>
                <w:color w:val="FFFFFF" w:themeColor="background1"/>
                <w:sz w:val="24"/>
              </w:rPr>
            </w:pPr>
            <w:r>
              <w:rPr>
                <w:rFonts w:cs="Arial"/>
                <w:b/>
                <w:color w:val="FFFFFF" w:themeColor="background1"/>
                <w:sz w:val="24"/>
              </w:rPr>
              <w:t xml:space="preserve">CMP368 </w:t>
            </w:r>
            <w:r w:rsidR="00760AB5" w:rsidRPr="00760AB5">
              <w:rPr>
                <w:rFonts w:cs="Arial"/>
                <w:b/>
                <w:color w:val="FFFFFF" w:themeColor="background1"/>
                <w:sz w:val="24"/>
              </w:rPr>
              <w:t>Standard Workgroup Consultation questions</w:t>
            </w:r>
          </w:p>
        </w:tc>
      </w:tr>
      <w:tr w:rsidR="00D14DB8" w:rsidRPr="00CF795B" w14:paraId="578D88A2" w14:textId="77777777" w:rsidTr="00697846">
        <w:trPr>
          <w:trHeight w:val="264"/>
        </w:trPr>
        <w:tc>
          <w:tcPr>
            <w:tcW w:w="483" w:type="dxa"/>
          </w:tcPr>
          <w:p w14:paraId="03542485" w14:textId="77777777" w:rsidR="0006725A" w:rsidRPr="009E1BFB" w:rsidRDefault="0006725A" w:rsidP="00B34474">
            <w:pPr>
              <w:rPr>
                <w:rFonts w:cs="Arial"/>
                <w:sz w:val="24"/>
              </w:rPr>
            </w:pPr>
            <w:r w:rsidRPr="009E1BFB">
              <w:rPr>
                <w:rFonts w:cs="Arial"/>
                <w:sz w:val="24"/>
              </w:rPr>
              <w:t>1</w:t>
            </w:r>
          </w:p>
        </w:tc>
        <w:tc>
          <w:tcPr>
            <w:tcW w:w="2691" w:type="dxa"/>
          </w:tcPr>
          <w:p w14:paraId="4E09BDF6" w14:textId="77777777" w:rsidR="0006725A" w:rsidRPr="009E1BFB" w:rsidRDefault="0006725A" w:rsidP="00386948">
            <w:pPr>
              <w:rPr>
                <w:rFonts w:cs="Arial"/>
                <w:bCs/>
                <w:sz w:val="24"/>
              </w:rPr>
            </w:pPr>
            <w:r w:rsidRPr="009E1BFB">
              <w:rPr>
                <w:sz w:val="24"/>
              </w:rPr>
              <w:t>Do you believe that</w:t>
            </w:r>
            <w:r w:rsidR="00713E51" w:rsidRPr="009E1BFB">
              <w:rPr>
                <w:sz w:val="24"/>
              </w:rPr>
              <w:t xml:space="preserve"> the</w:t>
            </w:r>
            <w:r w:rsidRPr="009E1BFB">
              <w:rPr>
                <w:sz w:val="24"/>
              </w:rPr>
              <w:t xml:space="preserve"> </w:t>
            </w:r>
            <w:r w:rsidR="006C0224" w:rsidRPr="009E1BFB">
              <w:rPr>
                <w:sz w:val="24"/>
              </w:rPr>
              <w:t>CMP</w:t>
            </w:r>
            <w:r w:rsidR="009E1BFB" w:rsidRPr="009E1BFB">
              <w:rPr>
                <w:sz w:val="24"/>
              </w:rPr>
              <w:t>368</w:t>
            </w:r>
            <w:r w:rsidR="006C0224" w:rsidRPr="009E1BFB">
              <w:rPr>
                <w:sz w:val="24"/>
              </w:rPr>
              <w:t xml:space="preserve"> </w:t>
            </w:r>
            <w:r w:rsidRPr="009E1BFB">
              <w:rPr>
                <w:sz w:val="24"/>
              </w:rPr>
              <w:t>Original Proposal better facilitates the Applicable Objectives?</w:t>
            </w:r>
          </w:p>
        </w:tc>
        <w:sdt>
          <w:sdtPr>
            <w:rPr>
              <w:sz w:val="24"/>
            </w:rPr>
            <w:id w:val="-1563557985"/>
            <w:placeholder>
              <w:docPart w:val="0FDF0F2B4C7946C4B8317B19795C1667"/>
            </w:placeholder>
            <w:showingPlcHdr/>
          </w:sdtPr>
          <w:sdtEndPr/>
          <w:sdtContent>
            <w:tc>
              <w:tcPr>
                <w:tcW w:w="6353" w:type="dxa"/>
              </w:tcPr>
              <w:p w14:paraId="66C9675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9A8197E" w14:textId="77777777" w:rsidTr="00697846">
        <w:trPr>
          <w:trHeight w:val="264"/>
        </w:trPr>
        <w:tc>
          <w:tcPr>
            <w:tcW w:w="483" w:type="dxa"/>
          </w:tcPr>
          <w:p w14:paraId="6BBF9281" w14:textId="77777777" w:rsidR="0006725A" w:rsidRPr="00CF795B" w:rsidRDefault="00BE2538" w:rsidP="00B34474">
            <w:pPr>
              <w:rPr>
                <w:rFonts w:cs="Arial"/>
                <w:sz w:val="24"/>
              </w:rPr>
            </w:pPr>
            <w:r>
              <w:rPr>
                <w:rFonts w:cs="Arial"/>
                <w:sz w:val="24"/>
              </w:rPr>
              <w:t>2</w:t>
            </w:r>
          </w:p>
        </w:tc>
        <w:tc>
          <w:tcPr>
            <w:tcW w:w="2691" w:type="dxa"/>
          </w:tcPr>
          <w:p w14:paraId="2F644F08"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0FDF0F2B4C7946C4B8317B19795C1667"/>
            </w:placeholder>
            <w:showingPlcHdr/>
          </w:sdtPr>
          <w:sdtEndPr/>
          <w:sdtContent>
            <w:tc>
              <w:tcPr>
                <w:tcW w:w="6353" w:type="dxa"/>
              </w:tcPr>
              <w:p w14:paraId="3638BC99"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EC0CE43" w14:textId="77777777" w:rsidTr="00697846">
        <w:trPr>
          <w:trHeight w:val="264"/>
        </w:trPr>
        <w:tc>
          <w:tcPr>
            <w:tcW w:w="483" w:type="dxa"/>
          </w:tcPr>
          <w:p w14:paraId="00E6BD6F" w14:textId="77777777" w:rsidR="0006725A" w:rsidRPr="00CF795B" w:rsidRDefault="00BE2538" w:rsidP="00B34474">
            <w:pPr>
              <w:rPr>
                <w:rFonts w:cs="Arial"/>
                <w:sz w:val="24"/>
              </w:rPr>
            </w:pPr>
            <w:r>
              <w:rPr>
                <w:rFonts w:cs="Arial"/>
                <w:sz w:val="24"/>
              </w:rPr>
              <w:t>3</w:t>
            </w:r>
          </w:p>
        </w:tc>
        <w:tc>
          <w:tcPr>
            <w:tcW w:w="2691" w:type="dxa"/>
          </w:tcPr>
          <w:p w14:paraId="2EFE09D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FDF0F2B4C7946C4B8317B19795C1667"/>
            </w:placeholder>
            <w:showingPlcHdr/>
          </w:sdtPr>
          <w:sdtEndPr/>
          <w:sdtContent>
            <w:tc>
              <w:tcPr>
                <w:tcW w:w="6353" w:type="dxa"/>
              </w:tcPr>
              <w:p w14:paraId="62CB5D22"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2DDCC03" w14:textId="77777777" w:rsidTr="00697846">
        <w:trPr>
          <w:trHeight w:val="264"/>
        </w:trPr>
        <w:tc>
          <w:tcPr>
            <w:tcW w:w="483" w:type="dxa"/>
          </w:tcPr>
          <w:p w14:paraId="35B5A786" w14:textId="77777777" w:rsidR="0006725A" w:rsidRPr="00CF795B" w:rsidRDefault="00BE2538" w:rsidP="00B34474">
            <w:pPr>
              <w:rPr>
                <w:rFonts w:cs="Arial"/>
                <w:sz w:val="24"/>
              </w:rPr>
            </w:pPr>
            <w:r>
              <w:rPr>
                <w:rFonts w:cs="Arial"/>
                <w:sz w:val="24"/>
              </w:rPr>
              <w:t>4</w:t>
            </w:r>
          </w:p>
        </w:tc>
        <w:tc>
          <w:tcPr>
            <w:tcW w:w="2691" w:type="dxa"/>
          </w:tcPr>
          <w:p w14:paraId="14E88896"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0FDF0F2B4C7946C4B8317B19795C1667"/>
            </w:placeholder>
            <w:showingPlcHdr/>
          </w:sdtPr>
          <w:sdtEndPr/>
          <w:sdtContent>
            <w:tc>
              <w:tcPr>
                <w:tcW w:w="6353" w:type="dxa"/>
              </w:tcPr>
              <w:p w14:paraId="37CCB23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557D3ED" w14:textId="77777777" w:rsidR="0006725A" w:rsidRPr="00CF795B"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374"/>
        <w:gridCol w:w="5670"/>
      </w:tblGrid>
      <w:tr w:rsidR="009D3D60" w:rsidRPr="00CF795B" w14:paraId="5738E3AB" w14:textId="77777777" w:rsidTr="008B6D32">
        <w:trPr>
          <w:trHeight w:val="264"/>
        </w:trPr>
        <w:tc>
          <w:tcPr>
            <w:tcW w:w="9527" w:type="dxa"/>
            <w:gridSpan w:val="3"/>
            <w:shd w:val="clear" w:color="auto" w:fill="F26522" w:themeFill="accent1"/>
          </w:tcPr>
          <w:p w14:paraId="23CEFFD2" w14:textId="02230A34" w:rsidR="009D3D60" w:rsidRPr="00CF795B" w:rsidRDefault="009D3D60" w:rsidP="00C25D98">
            <w:pPr>
              <w:ind w:left="-79"/>
              <w:rPr>
                <w:rFonts w:cs="Arial"/>
                <w:b/>
                <w:color w:val="FFFFFF" w:themeColor="background1"/>
                <w:sz w:val="24"/>
              </w:rPr>
            </w:pPr>
            <w:r>
              <w:rPr>
                <w:rFonts w:cs="Arial"/>
                <w:b/>
                <w:color w:val="FFFFFF" w:themeColor="background1"/>
                <w:sz w:val="24"/>
              </w:rPr>
              <w:t xml:space="preserve">CMP369 </w:t>
            </w:r>
            <w:r w:rsidRPr="00760AB5">
              <w:rPr>
                <w:rFonts w:cs="Arial"/>
                <w:b/>
                <w:color w:val="FFFFFF" w:themeColor="background1"/>
                <w:sz w:val="24"/>
              </w:rPr>
              <w:t>Standard Workgroup Consultation questions</w:t>
            </w:r>
          </w:p>
        </w:tc>
      </w:tr>
      <w:tr w:rsidR="009D3D60" w:rsidRPr="00CF795B" w14:paraId="04B0B0AB" w14:textId="77777777" w:rsidTr="008B6D32">
        <w:trPr>
          <w:trHeight w:val="264"/>
        </w:trPr>
        <w:tc>
          <w:tcPr>
            <w:tcW w:w="483" w:type="dxa"/>
          </w:tcPr>
          <w:p w14:paraId="3C8302CB" w14:textId="2275B4CB" w:rsidR="009D3D60" w:rsidRPr="009E1BFB" w:rsidRDefault="00C267BC" w:rsidP="00C25D98">
            <w:pPr>
              <w:rPr>
                <w:rFonts w:cs="Arial"/>
                <w:sz w:val="24"/>
              </w:rPr>
            </w:pPr>
            <w:r>
              <w:rPr>
                <w:rFonts w:cs="Arial"/>
                <w:sz w:val="24"/>
              </w:rPr>
              <w:t>5</w:t>
            </w:r>
          </w:p>
        </w:tc>
        <w:tc>
          <w:tcPr>
            <w:tcW w:w="3374" w:type="dxa"/>
          </w:tcPr>
          <w:p w14:paraId="090F0043" w14:textId="7BB0FDA2" w:rsidR="009D3D60" w:rsidRPr="009E1BFB" w:rsidRDefault="009D3D60" w:rsidP="00C25D98">
            <w:pPr>
              <w:rPr>
                <w:rFonts w:cs="Arial"/>
                <w:bCs/>
                <w:sz w:val="24"/>
              </w:rPr>
            </w:pPr>
            <w:r w:rsidRPr="009E1BFB">
              <w:rPr>
                <w:sz w:val="24"/>
              </w:rPr>
              <w:t>Do you believe that the CMP36</w:t>
            </w:r>
            <w:r>
              <w:rPr>
                <w:sz w:val="24"/>
              </w:rPr>
              <w:t>9</w:t>
            </w:r>
            <w:r w:rsidRPr="009E1BFB">
              <w:rPr>
                <w:sz w:val="24"/>
              </w:rPr>
              <w:t xml:space="preserve"> Original Proposal better facilitates the Applicable Objectives?</w:t>
            </w:r>
          </w:p>
        </w:tc>
        <w:sdt>
          <w:sdtPr>
            <w:rPr>
              <w:sz w:val="24"/>
            </w:rPr>
            <w:id w:val="-2103789088"/>
            <w:placeholder>
              <w:docPart w:val="9E31DBF2432848AB8BF6FD8528A7572F"/>
            </w:placeholder>
            <w:showingPlcHdr/>
          </w:sdtPr>
          <w:sdtEndPr/>
          <w:sdtContent>
            <w:tc>
              <w:tcPr>
                <w:tcW w:w="5670" w:type="dxa"/>
              </w:tcPr>
              <w:p w14:paraId="1F89CE01" w14:textId="77777777" w:rsidR="009D3D60" w:rsidRPr="00867B72" w:rsidRDefault="009D3D60" w:rsidP="00C25D98">
                <w:pPr>
                  <w:pStyle w:val="BodyText"/>
                  <w:rPr>
                    <w:sz w:val="24"/>
                  </w:rPr>
                </w:pPr>
                <w:r w:rsidRPr="004C39B5">
                  <w:rPr>
                    <w:rStyle w:val="PlaceholderText"/>
                    <w:rFonts w:eastAsiaTheme="minorHAnsi"/>
                  </w:rPr>
                  <w:t>Click or tap here to enter text.</w:t>
                </w:r>
              </w:p>
            </w:tc>
          </w:sdtContent>
        </w:sdt>
      </w:tr>
      <w:tr w:rsidR="009D3D60" w:rsidRPr="00CF795B" w14:paraId="629C9F48" w14:textId="77777777" w:rsidTr="008B6D32">
        <w:trPr>
          <w:trHeight w:val="264"/>
        </w:trPr>
        <w:tc>
          <w:tcPr>
            <w:tcW w:w="483" w:type="dxa"/>
          </w:tcPr>
          <w:p w14:paraId="09763B5C" w14:textId="22FAF89C" w:rsidR="009D3D60" w:rsidRPr="00CF795B" w:rsidRDefault="00C267BC" w:rsidP="00C25D98">
            <w:pPr>
              <w:rPr>
                <w:rFonts w:cs="Arial"/>
                <w:sz w:val="24"/>
              </w:rPr>
            </w:pPr>
            <w:r>
              <w:rPr>
                <w:rFonts w:cs="Arial"/>
                <w:sz w:val="24"/>
              </w:rPr>
              <w:t>6</w:t>
            </w:r>
          </w:p>
        </w:tc>
        <w:tc>
          <w:tcPr>
            <w:tcW w:w="3374" w:type="dxa"/>
          </w:tcPr>
          <w:p w14:paraId="17CFE47C" w14:textId="77777777" w:rsidR="009D3D60" w:rsidRPr="00CF795B" w:rsidRDefault="009D3D60" w:rsidP="00C25D98">
            <w:pPr>
              <w:rPr>
                <w:bCs/>
                <w:sz w:val="24"/>
              </w:rPr>
            </w:pPr>
            <w:r w:rsidRPr="00CF795B">
              <w:rPr>
                <w:sz w:val="24"/>
              </w:rPr>
              <w:t>Do you support the proposed implementation approach?</w:t>
            </w:r>
          </w:p>
        </w:tc>
        <w:sdt>
          <w:sdtPr>
            <w:rPr>
              <w:rFonts w:cs="Arial"/>
              <w:sz w:val="24"/>
            </w:rPr>
            <w:id w:val="1044556700"/>
            <w:placeholder>
              <w:docPart w:val="9E31DBF2432848AB8BF6FD8528A7572F"/>
            </w:placeholder>
            <w:showingPlcHdr/>
          </w:sdtPr>
          <w:sdtEndPr/>
          <w:sdtContent>
            <w:tc>
              <w:tcPr>
                <w:tcW w:w="5670" w:type="dxa"/>
              </w:tcPr>
              <w:p w14:paraId="1D7D1508" w14:textId="77777777" w:rsidR="009D3D60" w:rsidRPr="00CF795B" w:rsidRDefault="009D3D60" w:rsidP="00C25D98">
                <w:pPr>
                  <w:rPr>
                    <w:rFonts w:cs="Arial"/>
                    <w:sz w:val="24"/>
                  </w:rPr>
                </w:pPr>
                <w:r w:rsidRPr="004C39B5">
                  <w:rPr>
                    <w:rStyle w:val="PlaceholderText"/>
                    <w:rFonts w:eastAsiaTheme="minorHAnsi"/>
                  </w:rPr>
                  <w:t>Click or tap here to enter text.</w:t>
                </w:r>
              </w:p>
            </w:tc>
          </w:sdtContent>
        </w:sdt>
      </w:tr>
      <w:tr w:rsidR="009D3D60" w:rsidRPr="00CF795B" w14:paraId="2C43A26B" w14:textId="77777777" w:rsidTr="008B6D32">
        <w:trPr>
          <w:trHeight w:val="264"/>
        </w:trPr>
        <w:tc>
          <w:tcPr>
            <w:tcW w:w="483" w:type="dxa"/>
          </w:tcPr>
          <w:p w14:paraId="2D978305" w14:textId="1E9D2DB0" w:rsidR="009D3D60" w:rsidRPr="00CF795B" w:rsidRDefault="00C267BC" w:rsidP="00C25D98">
            <w:pPr>
              <w:rPr>
                <w:rFonts w:cs="Arial"/>
                <w:sz w:val="24"/>
              </w:rPr>
            </w:pPr>
            <w:r>
              <w:rPr>
                <w:rFonts w:cs="Arial"/>
                <w:sz w:val="24"/>
              </w:rPr>
              <w:t>7</w:t>
            </w:r>
          </w:p>
        </w:tc>
        <w:tc>
          <w:tcPr>
            <w:tcW w:w="3374" w:type="dxa"/>
          </w:tcPr>
          <w:p w14:paraId="288A25F1" w14:textId="77777777" w:rsidR="009D3D60" w:rsidRPr="00CF795B" w:rsidRDefault="009D3D60" w:rsidP="00C25D98">
            <w:pPr>
              <w:rPr>
                <w:bCs/>
                <w:sz w:val="24"/>
              </w:rPr>
            </w:pPr>
            <w:r w:rsidRPr="00CF795B">
              <w:rPr>
                <w:bCs/>
                <w:sz w:val="24"/>
              </w:rPr>
              <w:t>Do you have any other comments?</w:t>
            </w:r>
          </w:p>
        </w:tc>
        <w:sdt>
          <w:sdtPr>
            <w:rPr>
              <w:rFonts w:cs="Arial"/>
              <w:sz w:val="24"/>
            </w:rPr>
            <w:id w:val="-314952788"/>
            <w:placeholder>
              <w:docPart w:val="9E31DBF2432848AB8BF6FD8528A7572F"/>
            </w:placeholder>
            <w:showingPlcHdr/>
          </w:sdtPr>
          <w:sdtEndPr/>
          <w:sdtContent>
            <w:tc>
              <w:tcPr>
                <w:tcW w:w="5670" w:type="dxa"/>
              </w:tcPr>
              <w:p w14:paraId="56DE6132" w14:textId="77777777" w:rsidR="009D3D60" w:rsidRPr="00CF795B" w:rsidRDefault="009D3D60" w:rsidP="00C25D98">
                <w:pPr>
                  <w:rPr>
                    <w:rFonts w:cs="Arial"/>
                    <w:sz w:val="24"/>
                  </w:rPr>
                </w:pPr>
                <w:r w:rsidRPr="004C39B5">
                  <w:rPr>
                    <w:rStyle w:val="PlaceholderText"/>
                    <w:rFonts w:eastAsiaTheme="minorHAnsi"/>
                  </w:rPr>
                  <w:t>Click or tap here to enter text.</w:t>
                </w:r>
              </w:p>
            </w:tc>
          </w:sdtContent>
        </w:sdt>
      </w:tr>
      <w:tr w:rsidR="009D3D60" w:rsidRPr="00CF795B" w14:paraId="4F8AF290" w14:textId="77777777" w:rsidTr="008B6D32">
        <w:trPr>
          <w:trHeight w:val="264"/>
        </w:trPr>
        <w:tc>
          <w:tcPr>
            <w:tcW w:w="483" w:type="dxa"/>
          </w:tcPr>
          <w:p w14:paraId="39BAA1E3" w14:textId="6F626668" w:rsidR="009D3D60" w:rsidRPr="00CF795B" w:rsidRDefault="00C267BC" w:rsidP="00C25D98">
            <w:pPr>
              <w:rPr>
                <w:rFonts w:cs="Arial"/>
                <w:sz w:val="24"/>
              </w:rPr>
            </w:pPr>
            <w:r>
              <w:rPr>
                <w:rFonts w:cs="Arial"/>
                <w:sz w:val="24"/>
              </w:rPr>
              <w:t>8</w:t>
            </w:r>
          </w:p>
        </w:tc>
        <w:tc>
          <w:tcPr>
            <w:tcW w:w="3374" w:type="dxa"/>
          </w:tcPr>
          <w:p w14:paraId="43C5A06A" w14:textId="77777777" w:rsidR="009D3D60" w:rsidRDefault="009D3D60" w:rsidP="00C25D98">
            <w:pPr>
              <w:pStyle w:val="BodyText"/>
              <w:rPr>
                <w:rFonts w:cs="Arial"/>
                <w:sz w:val="24"/>
              </w:rPr>
            </w:pPr>
            <w:r w:rsidRPr="00CF795B">
              <w:rPr>
                <w:rFonts w:cs="Arial"/>
                <w:sz w:val="24"/>
              </w:rPr>
              <w:t xml:space="preserve">Do you wish to raise a Workgroup Consultation Alternative Request for the Workgroup to consider? </w:t>
            </w:r>
          </w:p>
          <w:p w14:paraId="47E15216" w14:textId="50CC2C20" w:rsidR="009D3D60" w:rsidRPr="00A10CD1" w:rsidRDefault="009D3D60" w:rsidP="00C25D98">
            <w:pPr>
              <w:pStyle w:val="BodyText"/>
              <w:rPr>
                <w:rFonts w:cs="Arial"/>
                <w:sz w:val="24"/>
              </w:rPr>
            </w:pPr>
          </w:p>
        </w:tc>
        <w:sdt>
          <w:sdtPr>
            <w:rPr>
              <w:rFonts w:cs="Arial"/>
              <w:sz w:val="24"/>
            </w:rPr>
            <w:id w:val="-1650210219"/>
            <w:placeholder>
              <w:docPart w:val="9E31DBF2432848AB8BF6FD8528A7572F"/>
            </w:placeholder>
            <w:showingPlcHdr/>
          </w:sdtPr>
          <w:sdtEndPr/>
          <w:sdtContent>
            <w:tc>
              <w:tcPr>
                <w:tcW w:w="5670" w:type="dxa"/>
              </w:tcPr>
              <w:p w14:paraId="2A1700EB" w14:textId="77777777" w:rsidR="009D3D60" w:rsidRPr="00CF795B" w:rsidRDefault="009D3D60" w:rsidP="00C25D98">
                <w:pPr>
                  <w:rPr>
                    <w:rFonts w:cs="Arial"/>
                    <w:sz w:val="24"/>
                  </w:rPr>
                </w:pPr>
                <w:r w:rsidRPr="004C39B5">
                  <w:rPr>
                    <w:rStyle w:val="PlaceholderText"/>
                    <w:rFonts w:eastAsiaTheme="minorHAnsi"/>
                  </w:rPr>
                  <w:t>Click or tap here to enter text.</w:t>
                </w:r>
              </w:p>
            </w:tc>
          </w:sdtContent>
        </w:sdt>
      </w:tr>
      <w:tr w:rsidR="009D3D60" w:rsidRPr="00CB6146" w14:paraId="5210CB31" w14:textId="77777777" w:rsidTr="008B6D32">
        <w:trPr>
          <w:trHeight w:val="264"/>
        </w:trPr>
        <w:tc>
          <w:tcPr>
            <w:tcW w:w="9527" w:type="dxa"/>
            <w:gridSpan w:val="3"/>
            <w:shd w:val="clear" w:color="auto" w:fill="F26522" w:themeFill="accent1"/>
          </w:tcPr>
          <w:p w14:paraId="3614ABD5" w14:textId="5C617709" w:rsidR="009D3D60" w:rsidRPr="00CB6146" w:rsidRDefault="009D3D60" w:rsidP="00C25D98">
            <w:pPr>
              <w:rPr>
                <w:rFonts w:cs="Arial"/>
                <w:b/>
                <w:sz w:val="24"/>
              </w:rPr>
            </w:pPr>
            <w:r>
              <w:rPr>
                <w:rFonts w:cs="Arial"/>
                <w:b/>
                <w:color w:val="FFFFFF" w:themeColor="background1"/>
                <w:sz w:val="24"/>
              </w:rPr>
              <w:t xml:space="preserve">CMP368 &amp; CMP369 Modification </w:t>
            </w:r>
            <w:r w:rsidRPr="00CB6146">
              <w:rPr>
                <w:rFonts w:cs="Arial"/>
                <w:b/>
                <w:color w:val="FFFFFF" w:themeColor="background1"/>
                <w:sz w:val="24"/>
              </w:rPr>
              <w:t xml:space="preserve">Specific </w:t>
            </w:r>
            <w:r>
              <w:rPr>
                <w:rFonts w:cs="Arial"/>
                <w:b/>
                <w:color w:val="FFFFFF" w:themeColor="background1"/>
                <w:sz w:val="24"/>
              </w:rPr>
              <w:t>Workgroup Consultation</w:t>
            </w:r>
            <w:r w:rsidRPr="00CB6146">
              <w:rPr>
                <w:rFonts w:cs="Arial"/>
                <w:b/>
                <w:color w:val="FFFFFF" w:themeColor="background1"/>
                <w:sz w:val="24"/>
              </w:rPr>
              <w:t xml:space="preserve"> questions</w:t>
            </w:r>
          </w:p>
        </w:tc>
      </w:tr>
      <w:tr w:rsidR="009D3D60" w:rsidRPr="00CF795B" w14:paraId="29182B2C" w14:textId="77777777" w:rsidTr="008B6D32">
        <w:trPr>
          <w:trHeight w:val="264"/>
        </w:trPr>
        <w:tc>
          <w:tcPr>
            <w:tcW w:w="483" w:type="dxa"/>
          </w:tcPr>
          <w:p w14:paraId="694FF535" w14:textId="622F5B2A" w:rsidR="009D3D60" w:rsidRPr="00CF795B" w:rsidRDefault="00C267BC" w:rsidP="00C25D98">
            <w:pPr>
              <w:rPr>
                <w:rFonts w:cs="Arial"/>
                <w:sz w:val="24"/>
              </w:rPr>
            </w:pPr>
            <w:r>
              <w:rPr>
                <w:rFonts w:cs="Arial"/>
                <w:sz w:val="24"/>
              </w:rPr>
              <w:t>9</w:t>
            </w:r>
          </w:p>
        </w:tc>
        <w:tc>
          <w:tcPr>
            <w:tcW w:w="3374" w:type="dxa"/>
          </w:tcPr>
          <w:p w14:paraId="50FDEACA" w14:textId="77777777" w:rsidR="00414112" w:rsidRPr="00414112" w:rsidRDefault="00414112" w:rsidP="00414112">
            <w:pPr>
              <w:rPr>
                <w:sz w:val="24"/>
              </w:rPr>
            </w:pPr>
            <w:r w:rsidRPr="00414112">
              <w:rPr>
                <w:sz w:val="24"/>
              </w:rPr>
              <w:t xml:space="preserve">The Proposer is proposing that the both the volumes </w:t>
            </w:r>
            <w:r w:rsidRPr="00414112">
              <w:rPr>
                <w:sz w:val="24"/>
                <w:u w:val="single"/>
              </w:rPr>
              <w:t>and</w:t>
            </w:r>
            <w:r w:rsidRPr="00414112">
              <w:rPr>
                <w:sz w:val="24"/>
              </w:rPr>
              <w:t xml:space="preserve"> charges of Large Distributed Generators are excluded in the compliance calculation, whereas the </w:t>
            </w:r>
            <w:r w:rsidRPr="00414112">
              <w:rPr>
                <w:sz w:val="24"/>
              </w:rPr>
              <w:lastRenderedPageBreak/>
              <w:t>potential alternative proposes that only the volumes are excluded. Which option do you support and why?</w:t>
            </w:r>
          </w:p>
          <w:p w14:paraId="3B7EED5D" w14:textId="29FCDF5E" w:rsidR="009D3D60" w:rsidRPr="00B75DF3" w:rsidRDefault="009D3D60" w:rsidP="00C25D98">
            <w:pPr>
              <w:rPr>
                <w:sz w:val="24"/>
              </w:rPr>
            </w:pPr>
          </w:p>
        </w:tc>
        <w:sdt>
          <w:sdtPr>
            <w:rPr>
              <w:rFonts w:cs="Arial"/>
              <w:sz w:val="24"/>
            </w:rPr>
            <w:id w:val="404962740"/>
            <w:placeholder>
              <w:docPart w:val="2BE949B24D8A47CFB78EA201CC994963"/>
            </w:placeholder>
            <w:showingPlcHdr/>
          </w:sdtPr>
          <w:sdtEndPr/>
          <w:sdtContent>
            <w:tc>
              <w:tcPr>
                <w:tcW w:w="5670" w:type="dxa"/>
              </w:tcPr>
              <w:p w14:paraId="0F64CCF9" w14:textId="77777777" w:rsidR="009D3D60" w:rsidRPr="00CF795B" w:rsidRDefault="009D3D60" w:rsidP="00C25D98">
                <w:pPr>
                  <w:rPr>
                    <w:rFonts w:cs="Arial"/>
                    <w:sz w:val="24"/>
                  </w:rPr>
                </w:pPr>
                <w:r w:rsidRPr="004C39B5">
                  <w:rPr>
                    <w:rStyle w:val="PlaceholderText"/>
                    <w:rFonts w:eastAsiaTheme="minorHAnsi"/>
                  </w:rPr>
                  <w:t>Click or tap here to enter text.</w:t>
                </w:r>
              </w:p>
            </w:tc>
          </w:sdtContent>
        </w:sdt>
      </w:tr>
      <w:tr w:rsidR="009D3D60" w:rsidRPr="00CF795B" w14:paraId="217DBB2C" w14:textId="77777777" w:rsidTr="008B6D32">
        <w:trPr>
          <w:trHeight w:val="264"/>
        </w:trPr>
        <w:tc>
          <w:tcPr>
            <w:tcW w:w="483" w:type="dxa"/>
          </w:tcPr>
          <w:p w14:paraId="1F3D1219" w14:textId="418653DD" w:rsidR="009D3D60" w:rsidRPr="00CF795B" w:rsidRDefault="00C267BC" w:rsidP="00C25D98">
            <w:pPr>
              <w:rPr>
                <w:rFonts w:cs="Arial"/>
                <w:sz w:val="24"/>
              </w:rPr>
            </w:pPr>
            <w:r>
              <w:rPr>
                <w:rFonts w:cs="Arial"/>
                <w:sz w:val="24"/>
              </w:rPr>
              <w:t>10</w:t>
            </w:r>
          </w:p>
        </w:tc>
        <w:tc>
          <w:tcPr>
            <w:tcW w:w="3374" w:type="dxa"/>
          </w:tcPr>
          <w:p w14:paraId="2949CDA0" w14:textId="77777777" w:rsidR="00993847" w:rsidRPr="00993847" w:rsidRDefault="00993847" w:rsidP="00993847">
            <w:pPr>
              <w:rPr>
                <w:sz w:val="24"/>
              </w:rPr>
            </w:pPr>
            <w:r w:rsidRPr="00993847">
              <w:rPr>
                <w:sz w:val="24"/>
              </w:rPr>
              <w:t xml:space="preserve">Station demand charges (TNUoS Triad charges on power station demand) would, with the original, be excluded, however the potential alternative would include them. Which option do you support and why? </w:t>
            </w:r>
          </w:p>
          <w:p w14:paraId="04EC1E21" w14:textId="7C3F0A1B" w:rsidR="009D3D60" w:rsidRPr="00B75DF3" w:rsidRDefault="009D3D60" w:rsidP="00C25D98">
            <w:pPr>
              <w:rPr>
                <w:sz w:val="24"/>
              </w:rPr>
            </w:pPr>
          </w:p>
        </w:tc>
        <w:sdt>
          <w:sdtPr>
            <w:rPr>
              <w:rFonts w:cs="Arial"/>
              <w:sz w:val="24"/>
            </w:rPr>
            <w:id w:val="1928074054"/>
            <w:placeholder>
              <w:docPart w:val="15BB3709FFA64062B279BF980237F38E"/>
            </w:placeholder>
            <w:showingPlcHdr/>
          </w:sdtPr>
          <w:sdtEndPr/>
          <w:sdtContent>
            <w:tc>
              <w:tcPr>
                <w:tcW w:w="5670" w:type="dxa"/>
              </w:tcPr>
              <w:p w14:paraId="714C91AE" w14:textId="77777777" w:rsidR="009D3D60" w:rsidRPr="00CF795B" w:rsidRDefault="009D3D60" w:rsidP="00C25D98">
                <w:pPr>
                  <w:rPr>
                    <w:rFonts w:cs="Arial"/>
                    <w:sz w:val="24"/>
                  </w:rPr>
                </w:pPr>
                <w:r w:rsidRPr="004C39B5">
                  <w:rPr>
                    <w:rStyle w:val="PlaceholderText"/>
                    <w:rFonts w:eastAsiaTheme="minorHAnsi"/>
                  </w:rPr>
                  <w:t>Click or tap here to enter text.</w:t>
                </w:r>
              </w:p>
            </w:tc>
          </w:sdtContent>
        </w:sdt>
      </w:tr>
      <w:tr w:rsidR="00EE1962" w:rsidRPr="00CF795B" w14:paraId="1B268D40" w14:textId="77777777" w:rsidTr="008B6D32">
        <w:trPr>
          <w:trHeight w:val="264"/>
        </w:trPr>
        <w:tc>
          <w:tcPr>
            <w:tcW w:w="483" w:type="dxa"/>
          </w:tcPr>
          <w:p w14:paraId="21039F01" w14:textId="708BAFB1" w:rsidR="00EE1962" w:rsidRDefault="00C267BC" w:rsidP="00C25D98">
            <w:pPr>
              <w:rPr>
                <w:rFonts w:cs="Arial"/>
                <w:sz w:val="24"/>
              </w:rPr>
            </w:pPr>
            <w:r>
              <w:rPr>
                <w:rFonts w:cs="Arial"/>
                <w:sz w:val="24"/>
              </w:rPr>
              <w:t>1</w:t>
            </w:r>
            <w:r w:rsidR="002917BC">
              <w:rPr>
                <w:rFonts w:cs="Arial"/>
                <w:sz w:val="24"/>
              </w:rPr>
              <w:t>1</w:t>
            </w:r>
          </w:p>
        </w:tc>
        <w:tc>
          <w:tcPr>
            <w:tcW w:w="3374" w:type="dxa"/>
          </w:tcPr>
          <w:p w14:paraId="7A80792B" w14:textId="77777777" w:rsidR="00D56824" w:rsidRPr="00D56824" w:rsidRDefault="00D56824" w:rsidP="00D56824">
            <w:pPr>
              <w:spacing w:before="120" w:after="120"/>
              <w:rPr>
                <w:sz w:val="24"/>
              </w:rPr>
            </w:pPr>
            <w:r w:rsidRPr="00D56824">
              <w:rPr>
                <w:sz w:val="24"/>
              </w:rPr>
              <w:t>The Original proposal would not change the current treatment of transmission charges or the associated volumes relating to storage when assessing compliance with the Limiting Regulation. Do you agree with this approach, and if so why?</w:t>
            </w:r>
          </w:p>
          <w:p w14:paraId="22F7A1F0" w14:textId="77777777" w:rsidR="00EE1962" w:rsidRPr="00EE1962" w:rsidRDefault="00EE1962" w:rsidP="00EE1962">
            <w:pPr>
              <w:rPr>
                <w:sz w:val="24"/>
              </w:rPr>
            </w:pPr>
          </w:p>
        </w:tc>
        <w:tc>
          <w:tcPr>
            <w:tcW w:w="5670" w:type="dxa"/>
          </w:tcPr>
          <w:p w14:paraId="110C2CFD" w14:textId="77777777" w:rsidR="00EE1962" w:rsidRDefault="00EE1962" w:rsidP="00C25D98">
            <w:pPr>
              <w:rPr>
                <w:rFonts w:cs="Arial"/>
                <w:sz w:val="24"/>
              </w:rPr>
            </w:pPr>
          </w:p>
        </w:tc>
      </w:tr>
      <w:tr w:rsidR="00D56824" w:rsidRPr="00CF795B" w14:paraId="63E7434F" w14:textId="77777777" w:rsidTr="008B6D32">
        <w:trPr>
          <w:trHeight w:val="264"/>
        </w:trPr>
        <w:tc>
          <w:tcPr>
            <w:tcW w:w="483" w:type="dxa"/>
          </w:tcPr>
          <w:p w14:paraId="1DBD1613" w14:textId="647044EB" w:rsidR="00D56824" w:rsidRDefault="00C267BC" w:rsidP="00C25D98">
            <w:pPr>
              <w:rPr>
                <w:rFonts w:cs="Arial"/>
                <w:sz w:val="24"/>
              </w:rPr>
            </w:pPr>
            <w:r>
              <w:rPr>
                <w:rFonts w:cs="Arial"/>
                <w:sz w:val="24"/>
              </w:rPr>
              <w:t>1</w:t>
            </w:r>
            <w:r w:rsidR="002917BC">
              <w:rPr>
                <w:rFonts w:cs="Arial"/>
                <w:sz w:val="24"/>
              </w:rPr>
              <w:t>2</w:t>
            </w:r>
          </w:p>
        </w:tc>
        <w:tc>
          <w:tcPr>
            <w:tcW w:w="3374" w:type="dxa"/>
          </w:tcPr>
          <w:p w14:paraId="5C387E50" w14:textId="77777777" w:rsidR="00A41A04" w:rsidRPr="00A41A04" w:rsidRDefault="00A41A04" w:rsidP="00A41A04">
            <w:pPr>
              <w:rPr>
                <w:sz w:val="24"/>
              </w:rPr>
            </w:pPr>
            <w:r w:rsidRPr="00A41A04">
              <w:rPr>
                <w:sz w:val="24"/>
              </w:rPr>
              <w:t xml:space="preserve">Do you believe that both generation charges and volumes of storage assets should be included in the compliance calculation (page 11)? Does this depend on whether the storage is transmission or distribution connected? Please provide your rationale. </w:t>
            </w:r>
          </w:p>
          <w:p w14:paraId="7A04898D" w14:textId="77777777" w:rsidR="00D56824" w:rsidRPr="00D56824" w:rsidRDefault="00D56824" w:rsidP="00D56824">
            <w:pPr>
              <w:spacing w:before="120" w:after="120"/>
              <w:rPr>
                <w:sz w:val="24"/>
              </w:rPr>
            </w:pPr>
          </w:p>
        </w:tc>
        <w:tc>
          <w:tcPr>
            <w:tcW w:w="5670" w:type="dxa"/>
          </w:tcPr>
          <w:p w14:paraId="1B1DDE56" w14:textId="77777777" w:rsidR="00D56824" w:rsidRDefault="00D56824" w:rsidP="00C25D98">
            <w:pPr>
              <w:rPr>
                <w:rFonts w:cs="Arial"/>
                <w:sz w:val="24"/>
              </w:rPr>
            </w:pPr>
          </w:p>
        </w:tc>
      </w:tr>
      <w:tr w:rsidR="00A41A04" w:rsidRPr="00CF795B" w14:paraId="4D3D4B5A" w14:textId="77777777" w:rsidTr="008B6D32">
        <w:trPr>
          <w:trHeight w:val="264"/>
        </w:trPr>
        <w:tc>
          <w:tcPr>
            <w:tcW w:w="483" w:type="dxa"/>
          </w:tcPr>
          <w:p w14:paraId="46F515D2" w14:textId="1D9D5E6A" w:rsidR="00A41A04" w:rsidRDefault="00C267BC" w:rsidP="00C25D98">
            <w:pPr>
              <w:rPr>
                <w:rFonts w:cs="Arial"/>
                <w:sz w:val="24"/>
              </w:rPr>
            </w:pPr>
            <w:r>
              <w:rPr>
                <w:rFonts w:cs="Arial"/>
                <w:sz w:val="24"/>
              </w:rPr>
              <w:t>1</w:t>
            </w:r>
            <w:r w:rsidR="002917BC">
              <w:rPr>
                <w:rFonts w:cs="Arial"/>
                <w:sz w:val="24"/>
              </w:rPr>
              <w:t>3</w:t>
            </w:r>
          </w:p>
        </w:tc>
        <w:tc>
          <w:tcPr>
            <w:tcW w:w="3374" w:type="dxa"/>
          </w:tcPr>
          <w:p w14:paraId="6A0C9380" w14:textId="77777777" w:rsidR="00CC6294" w:rsidRPr="00CC6294" w:rsidRDefault="00CC6294" w:rsidP="00CC6294">
            <w:pPr>
              <w:rPr>
                <w:sz w:val="24"/>
              </w:rPr>
            </w:pPr>
            <w:r w:rsidRPr="00CC6294">
              <w:rPr>
                <w:sz w:val="24"/>
              </w:rPr>
              <w:t>What do you think is the appropriate time stamp for defining whether a network asset is “pre-existing” (page 11)? E.g. when a generator wished to connect, was the network asset:</w:t>
            </w:r>
          </w:p>
          <w:p w14:paraId="7F83787A" w14:textId="77777777" w:rsidR="00CC6294" w:rsidRPr="00CC6294" w:rsidRDefault="00CC6294" w:rsidP="00CC6294">
            <w:pPr>
              <w:numPr>
                <w:ilvl w:val="1"/>
                <w:numId w:val="24"/>
              </w:numPr>
              <w:ind w:left="574" w:hanging="283"/>
              <w:rPr>
                <w:sz w:val="24"/>
              </w:rPr>
            </w:pPr>
            <w:r w:rsidRPr="00CC6294">
              <w:rPr>
                <w:sz w:val="24"/>
              </w:rPr>
              <w:t>Already planned to be built</w:t>
            </w:r>
          </w:p>
          <w:p w14:paraId="71B1DE7F" w14:textId="77777777" w:rsidR="00CC6294" w:rsidRPr="00CC6294" w:rsidRDefault="00CC6294" w:rsidP="00CC6294">
            <w:pPr>
              <w:numPr>
                <w:ilvl w:val="1"/>
                <w:numId w:val="24"/>
              </w:numPr>
              <w:ind w:left="574" w:hanging="283"/>
              <w:rPr>
                <w:sz w:val="24"/>
              </w:rPr>
            </w:pPr>
            <w:r w:rsidRPr="00CC6294">
              <w:rPr>
                <w:sz w:val="24"/>
              </w:rPr>
              <w:t>Already committed to be built</w:t>
            </w:r>
          </w:p>
          <w:p w14:paraId="4FB1A9D8" w14:textId="77777777" w:rsidR="00CC6294" w:rsidRPr="00CC6294" w:rsidRDefault="00CC6294" w:rsidP="00CC6294">
            <w:pPr>
              <w:numPr>
                <w:ilvl w:val="1"/>
                <w:numId w:val="24"/>
              </w:numPr>
              <w:ind w:left="574" w:hanging="283"/>
              <w:rPr>
                <w:sz w:val="24"/>
              </w:rPr>
            </w:pPr>
            <w:r w:rsidRPr="00CC6294">
              <w:rPr>
                <w:sz w:val="24"/>
              </w:rPr>
              <w:lastRenderedPageBreak/>
              <w:t>Already under construction</w:t>
            </w:r>
          </w:p>
          <w:p w14:paraId="6DCD991C" w14:textId="77777777" w:rsidR="00CC6294" w:rsidRPr="00CC6294" w:rsidRDefault="00CC6294" w:rsidP="00CC6294">
            <w:pPr>
              <w:numPr>
                <w:ilvl w:val="1"/>
                <w:numId w:val="24"/>
              </w:numPr>
              <w:ind w:left="574" w:hanging="283"/>
              <w:rPr>
                <w:sz w:val="24"/>
              </w:rPr>
            </w:pPr>
            <w:r w:rsidRPr="00CC6294">
              <w:rPr>
                <w:sz w:val="24"/>
              </w:rPr>
              <w:t>Finished construction</w:t>
            </w:r>
          </w:p>
          <w:p w14:paraId="0377B89E" w14:textId="77777777" w:rsidR="00CC6294" w:rsidRPr="00CC6294" w:rsidRDefault="00CC6294" w:rsidP="00CC6294">
            <w:pPr>
              <w:numPr>
                <w:ilvl w:val="1"/>
                <w:numId w:val="24"/>
              </w:numPr>
              <w:ind w:left="574" w:hanging="283"/>
              <w:rPr>
                <w:sz w:val="24"/>
              </w:rPr>
            </w:pPr>
            <w:r w:rsidRPr="00CC6294">
              <w:rPr>
                <w:sz w:val="24"/>
              </w:rPr>
              <w:t>Commissioned and fully operational</w:t>
            </w:r>
          </w:p>
          <w:p w14:paraId="4352E0EC" w14:textId="77777777" w:rsidR="00A41A04" w:rsidRPr="00CC6294" w:rsidRDefault="00A41A04" w:rsidP="00A41A04">
            <w:pPr>
              <w:rPr>
                <w:sz w:val="24"/>
              </w:rPr>
            </w:pPr>
          </w:p>
        </w:tc>
        <w:tc>
          <w:tcPr>
            <w:tcW w:w="5670" w:type="dxa"/>
          </w:tcPr>
          <w:p w14:paraId="5D8B8A16" w14:textId="77777777" w:rsidR="00A41A04" w:rsidRDefault="00A41A04" w:rsidP="00C25D98">
            <w:pPr>
              <w:rPr>
                <w:rFonts w:cs="Arial"/>
                <w:sz w:val="24"/>
              </w:rPr>
            </w:pPr>
          </w:p>
        </w:tc>
      </w:tr>
      <w:tr w:rsidR="00CC6294" w:rsidRPr="00CF795B" w14:paraId="215CB62A" w14:textId="77777777" w:rsidTr="008B6D32">
        <w:trPr>
          <w:trHeight w:val="264"/>
        </w:trPr>
        <w:tc>
          <w:tcPr>
            <w:tcW w:w="483" w:type="dxa"/>
          </w:tcPr>
          <w:p w14:paraId="0695E3DF" w14:textId="451A5389" w:rsidR="00CC6294" w:rsidRDefault="00C267BC" w:rsidP="00C25D98">
            <w:pPr>
              <w:rPr>
                <w:rFonts w:cs="Arial"/>
                <w:sz w:val="24"/>
              </w:rPr>
            </w:pPr>
            <w:r>
              <w:rPr>
                <w:rFonts w:cs="Arial"/>
                <w:sz w:val="24"/>
              </w:rPr>
              <w:t>1</w:t>
            </w:r>
            <w:r w:rsidR="002917BC">
              <w:rPr>
                <w:rFonts w:cs="Arial"/>
                <w:sz w:val="24"/>
              </w:rPr>
              <w:t>4</w:t>
            </w:r>
          </w:p>
        </w:tc>
        <w:tc>
          <w:tcPr>
            <w:tcW w:w="3374" w:type="dxa"/>
          </w:tcPr>
          <w:p w14:paraId="70DA9B39" w14:textId="77777777" w:rsidR="003037DA" w:rsidRPr="003037DA" w:rsidRDefault="003037DA" w:rsidP="003037DA">
            <w:pPr>
              <w:rPr>
                <w:sz w:val="24"/>
              </w:rPr>
            </w:pPr>
            <w:r w:rsidRPr="003037DA">
              <w:rPr>
                <w:sz w:val="24"/>
              </w:rPr>
              <w:t xml:space="preserve">Do you consider there to be any specific changes to a BCA that may trigger the reclassification of assets? If so, please provide your rationale. </w:t>
            </w:r>
          </w:p>
          <w:p w14:paraId="3F539B8F" w14:textId="77777777" w:rsidR="00CC6294" w:rsidRPr="00CC6294" w:rsidRDefault="00CC6294" w:rsidP="00CC6294">
            <w:pPr>
              <w:rPr>
                <w:sz w:val="24"/>
              </w:rPr>
            </w:pPr>
          </w:p>
        </w:tc>
        <w:tc>
          <w:tcPr>
            <w:tcW w:w="5670" w:type="dxa"/>
          </w:tcPr>
          <w:p w14:paraId="0583839C" w14:textId="77777777" w:rsidR="00CC6294" w:rsidRDefault="00CC6294" w:rsidP="00C25D98">
            <w:pPr>
              <w:rPr>
                <w:rFonts w:cs="Arial"/>
                <w:sz w:val="24"/>
              </w:rPr>
            </w:pPr>
          </w:p>
        </w:tc>
      </w:tr>
      <w:tr w:rsidR="003037DA" w:rsidRPr="00CF795B" w14:paraId="60FF080E" w14:textId="77777777" w:rsidTr="008B6D32">
        <w:trPr>
          <w:trHeight w:val="264"/>
        </w:trPr>
        <w:tc>
          <w:tcPr>
            <w:tcW w:w="483" w:type="dxa"/>
          </w:tcPr>
          <w:p w14:paraId="108A99EE" w14:textId="4ED7FA99" w:rsidR="003037DA" w:rsidRDefault="00C267BC" w:rsidP="00C25D98">
            <w:pPr>
              <w:rPr>
                <w:rFonts w:cs="Arial"/>
                <w:sz w:val="24"/>
              </w:rPr>
            </w:pPr>
            <w:r>
              <w:rPr>
                <w:rFonts w:cs="Arial"/>
                <w:sz w:val="24"/>
              </w:rPr>
              <w:t>1</w:t>
            </w:r>
            <w:r w:rsidR="00DD7180">
              <w:rPr>
                <w:rFonts w:cs="Arial"/>
                <w:sz w:val="24"/>
              </w:rPr>
              <w:t>5</w:t>
            </w:r>
          </w:p>
        </w:tc>
        <w:tc>
          <w:tcPr>
            <w:tcW w:w="3374" w:type="dxa"/>
          </w:tcPr>
          <w:p w14:paraId="15AB7AF7" w14:textId="77777777" w:rsidR="00AC695B" w:rsidRPr="00AC695B" w:rsidRDefault="00AC695B" w:rsidP="00AC695B">
            <w:pPr>
              <w:rPr>
                <w:sz w:val="24"/>
              </w:rPr>
            </w:pPr>
            <w:r w:rsidRPr="00AC695B">
              <w:rPr>
                <w:sz w:val="24"/>
              </w:rPr>
              <w:t>Do you think an obligation should be placed on the ESO to publish the outturn value and transparently show the working for calculating the average transmission charge paid by generators (page 15)? Please explain your rationale.</w:t>
            </w:r>
          </w:p>
          <w:p w14:paraId="3040043F" w14:textId="77777777" w:rsidR="003037DA" w:rsidRPr="003037DA" w:rsidRDefault="003037DA" w:rsidP="003037DA">
            <w:pPr>
              <w:rPr>
                <w:sz w:val="24"/>
              </w:rPr>
            </w:pPr>
          </w:p>
        </w:tc>
        <w:tc>
          <w:tcPr>
            <w:tcW w:w="5670" w:type="dxa"/>
          </w:tcPr>
          <w:p w14:paraId="22EFB4FD" w14:textId="77777777" w:rsidR="003037DA" w:rsidRDefault="003037DA" w:rsidP="00C25D98">
            <w:pPr>
              <w:rPr>
                <w:rFonts w:cs="Arial"/>
                <w:sz w:val="24"/>
              </w:rPr>
            </w:pPr>
          </w:p>
        </w:tc>
      </w:tr>
      <w:tr w:rsidR="00AC695B" w:rsidRPr="00CF795B" w14:paraId="3645CE86" w14:textId="77777777" w:rsidTr="008B6D32">
        <w:trPr>
          <w:trHeight w:val="264"/>
        </w:trPr>
        <w:tc>
          <w:tcPr>
            <w:tcW w:w="483" w:type="dxa"/>
          </w:tcPr>
          <w:p w14:paraId="3CD4A6E7" w14:textId="28F97F55" w:rsidR="00AC695B" w:rsidRDefault="00C267BC" w:rsidP="00C25D98">
            <w:pPr>
              <w:rPr>
                <w:rFonts w:cs="Arial"/>
                <w:sz w:val="24"/>
              </w:rPr>
            </w:pPr>
            <w:r>
              <w:rPr>
                <w:rFonts w:cs="Arial"/>
                <w:sz w:val="24"/>
              </w:rPr>
              <w:t>1</w:t>
            </w:r>
            <w:r w:rsidR="00DD7180">
              <w:rPr>
                <w:rFonts w:cs="Arial"/>
                <w:sz w:val="24"/>
              </w:rPr>
              <w:t>6</w:t>
            </w:r>
          </w:p>
        </w:tc>
        <w:tc>
          <w:tcPr>
            <w:tcW w:w="3374" w:type="dxa"/>
          </w:tcPr>
          <w:p w14:paraId="2311A0CB" w14:textId="77777777" w:rsidR="00ED78A8" w:rsidRPr="00A8347C" w:rsidRDefault="00ED78A8" w:rsidP="00ED78A8">
            <w:pPr>
              <w:rPr>
                <w:sz w:val="24"/>
              </w:rPr>
            </w:pPr>
            <w:r w:rsidRPr="00ED78A8">
              <w:rPr>
                <w:sz w:val="24"/>
              </w:rPr>
              <w:t xml:space="preserve">How </w:t>
            </w:r>
            <w:r w:rsidRPr="00A8347C">
              <w:rPr>
                <w:sz w:val="24"/>
              </w:rPr>
              <w:t xml:space="preserve">should charges be treated relating to upgrades to </w:t>
            </w:r>
            <w:r w:rsidRPr="00ED78A8">
              <w:rPr>
                <w:sz w:val="24"/>
              </w:rPr>
              <w:t>local</w:t>
            </w:r>
            <w:r w:rsidRPr="00A8347C">
              <w:rPr>
                <w:sz w:val="24"/>
              </w:rPr>
              <w:t xml:space="preserve"> assets? Please explain your rationale.</w:t>
            </w:r>
          </w:p>
          <w:p w14:paraId="76524A4F" w14:textId="77777777" w:rsidR="00ED78A8" w:rsidRPr="00ED78A8" w:rsidRDefault="00ED78A8" w:rsidP="00ED78A8">
            <w:pPr>
              <w:numPr>
                <w:ilvl w:val="1"/>
                <w:numId w:val="30"/>
              </w:numPr>
              <w:ind w:left="574" w:hanging="283"/>
              <w:rPr>
                <w:sz w:val="24"/>
              </w:rPr>
            </w:pPr>
            <w:r w:rsidRPr="00ED78A8">
              <w:rPr>
                <w:sz w:val="24"/>
              </w:rPr>
              <w:t xml:space="preserve">Only exclude charges for new upgrades that are paid by a new generator. </w:t>
            </w:r>
          </w:p>
          <w:p w14:paraId="4DF9AC3D" w14:textId="77777777" w:rsidR="00ED78A8" w:rsidRPr="00ED78A8" w:rsidRDefault="00ED78A8" w:rsidP="00ED78A8">
            <w:pPr>
              <w:numPr>
                <w:ilvl w:val="1"/>
                <w:numId w:val="30"/>
              </w:numPr>
              <w:ind w:left="574" w:hanging="283"/>
              <w:rPr>
                <w:sz w:val="24"/>
              </w:rPr>
            </w:pPr>
            <w:r w:rsidRPr="00ED78A8">
              <w:rPr>
                <w:sz w:val="24"/>
              </w:rPr>
              <w:t>Exclude charges paid for the new upgrades that are paid by both existing and new generators.</w:t>
            </w:r>
          </w:p>
          <w:p w14:paraId="7E517D98" w14:textId="77777777" w:rsidR="00ED78A8" w:rsidRPr="00ED78A8" w:rsidRDefault="00ED78A8" w:rsidP="00ED78A8">
            <w:pPr>
              <w:numPr>
                <w:ilvl w:val="1"/>
                <w:numId w:val="30"/>
              </w:numPr>
              <w:ind w:left="574" w:hanging="283"/>
              <w:rPr>
                <w:sz w:val="24"/>
              </w:rPr>
            </w:pPr>
            <w:r w:rsidRPr="00ED78A8">
              <w:rPr>
                <w:sz w:val="24"/>
              </w:rPr>
              <w:t>Do not exclude any cost related to new upgrades because the upgrade to pre-existing assets was not required to connect the new generator.</w:t>
            </w:r>
          </w:p>
          <w:p w14:paraId="174C1D78" w14:textId="77777777" w:rsidR="00ED78A8" w:rsidRPr="00ED78A8" w:rsidRDefault="00ED78A8" w:rsidP="00ED78A8">
            <w:pPr>
              <w:numPr>
                <w:ilvl w:val="1"/>
                <w:numId w:val="30"/>
              </w:numPr>
              <w:ind w:left="574" w:hanging="283"/>
              <w:rPr>
                <w:sz w:val="24"/>
              </w:rPr>
            </w:pPr>
            <w:r w:rsidRPr="00ED78A8">
              <w:rPr>
                <w:sz w:val="24"/>
              </w:rPr>
              <w:t>Other</w:t>
            </w:r>
          </w:p>
          <w:p w14:paraId="4513C588" w14:textId="77777777" w:rsidR="00AC695B" w:rsidRPr="00ED78A8" w:rsidRDefault="00AC695B" w:rsidP="00AC695B">
            <w:pPr>
              <w:rPr>
                <w:sz w:val="24"/>
              </w:rPr>
            </w:pPr>
          </w:p>
        </w:tc>
        <w:tc>
          <w:tcPr>
            <w:tcW w:w="5670" w:type="dxa"/>
          </w:tcPr>
          <w:p w14:paraId="228DD58A" w14:textId="77777777" w:rsidR="00AC695B" w:rsidRDefault="00AC695B" w:rsidP="00C25D98">
            <w:pPr>
              <w:rPr>
                <w:rFonts w:cs="Arial"/>
                <w:sz w:val="24"/>
              </w:rPr>
            </w:pPr>
          </w:p>
        </w:tc>
      </w:tr>
      <w:tr w:rsidR="00ED78A8" w:rsidRPr="00CF795B" w14:paraId="7489C7DF" w14:textId="77777777" w:rsidTr="008B6D32">
        <w:trPr>
          <w:trHeight w:val="264"/>
        </w:trPr>
        <w:tc>
          <w:tcPr>
            <w:tcW w:w="483" w:type="dxa"/>
          </w:tcPr>
          <w:p w14:paraId="1265DDE8" w14:textId="5C577C6F" w:rsidR="00ED78A8" w:rsidRDefault="00ED78A8" w:rsidP="00C25D98">
            <w:pPr>
              <w:rPr>
                <w:rFonts w:cs="Arial"/>
                <w:sz w:val="24"/>
              </w:rPr>
            </w:pPr>
            <w:r>
              <w:rPr>
                <w:rFonts w:cs="Arial"/>
                <w:sz w:val="24"/>
              </w:rPr>
              <w:t>1</w:t>
            </w:r>
            <w:r w:rsidR="00DD7180">
              <w:rPr>
                <w:rFonts w:cs="Arial"/>
                <w:sz w:val="24"/>
              </w:rPr>
              <w:t>7</w:t>
            </w:r>
          </w:p>
        </w:tc>
        <w:tc>
          <w:tcPr>
            <w:tcW w:w="3374" w:type="dxa"/>
          </w:tcPr>
          <w:p w14:paraId="51CAA02C" w14:textId="234D87DE" w:rsidR="00EC0FE0" w:rsidRPr="00EC0FE0" w:rsidRDefault="00EC0FE0" w:rsidP="00EC0FE0">
            <w:pPr>
              <w:rPr>
                <w:sz w:val="24"/>
              </w:rPr>
            </w:pPr>
            <w:r w:rsidRPr="00EC0FE0">
              <w:rPr>
                <w:sz w:val="24"/>
              </w:rPr>
              <w:t xml:space="preserve">Four different options are given on page 22 of the Workgroup Consultation, two of which demonstrate </w:t>
            </w:r>
            <w:r w:rsidRPr="00EC0FE0">
              <w:rPr>
                <w:sz w:val="24"/>
              </w:rPr>
              <w:lastRenderedPageBreak/>
              <w:t>different interpretations of “interconnectedness”. that the CMA identified. Figures 8-11 provide simple examples to help define what network assets should have their charges captured within the Connection Exclusion. Which of the two options (1 or 2) for “sufficient interconnectedness” do you agree with, and why?</w:t>
            </w:r>
          </w:p>
          <w:p w14:paraId="68FECF5E" w14:textId="77777777" w:rsidR="00ED78A8" w:rsidRPr="00ED78A8" w:rsidRDefault="00ED78A8" w:rsidP="00ED78A8">
            <w:pPr>
              <w:rPr>
                <w:sz w:val="24"/>
              </w:rPr>
            </w:pPr>
          </w:p>
        </w:tc>
        <w:tc>
          <w:tcPr>
            <w:tcW w:w="5670" w:type="dxa"/>
          </w:tcPr>
          <w:p w14:paraId="12662AEF" w14:textId="77777777" w:rsidR="00ED78A8" w:rsidRDefault="00ED78A8" w:rsidP="00C25D98">
            <w:pPr>
              <w:rPr>
                <w:rFonts w:cs="Arial"/>
                <w:sz w:val="24"/>
              </w:rPr>
            </w:pPr>
          </w:p>
        </w:tc>
      </w:tr>
      <w:tr w:rsidR="00EC0FE0" w:rsidRPr="00CF795B" w14:paraId="5C6B03C8" w14:textId="77777777" w:rsidTr="008B6D32">
        <w:trPr>
          <w:trHeight w:val="264"/>
        </w:trPr>
        <w:tc>
          <w:tcPr>
            <w:tcW w:w="483" w:type="dxa"/>
          </w:tcPr>
          <w:p w14:paraId="203CB07B" w14:textId="4C5E37B3" w:rsidR="00EC0FE0" w:rsidRDefault="00EC0FE0" w:rsidP="00C25D98">
            <w:pPr>
              <w:rPr>
                <w:rFonts w:cs="Arial"/>
                <w:sz w:val="24"/>
              </w:rPr>
            </w:pPr>
            <w:r>
              <w:rPr>
                <w:rFonts w:cs="Arial"/>
                <w:sz w:val="24"/>
              </w:rPr>
              <w:t>1</w:t>
            </w:r>
            <w:r w:rsidR="00BE21C9">
              <w:rPr>
                <w:rFonts w:cs="Arial"/>
                <w:sz w:val="24"/>
              </w:rPr>
              <w:t>8</w:t>
            </w:r>
          </w:p>
        </w:tc>
        <w:tc>
          <w:tcPr>
            <w:tcW w:w="3374" w:type="dxa"/>
          </w:tcPr>
          <w:p w14:paraId="0211878A" w14:textId="77777777" w:rsidR="00E12C8F" w:rsidRPr="00E12C8F" w:rsidRDefault="00E12C8F" w:rsidP="00E12C8F">
            <w:pPr>
              <w:rPr>
                <w:sz w:val="24"/>
              </w:rPr>
            </w:pPr>
            <w:r w:rsidRPr="00E12C8F">
              <w:rPr>
                <w:sz w:val="24"/>
              </w:rPr>
              <w:t xml:space="preserve">Option 3 (page 22) notes that the CMA says there may be other relevant factors - do you think any other factors should be </w:t>
            </w:r>
            <w:proofErr w:type="gramStart"/>
            <w:r w:rsidRPr="00E12C8F">
              <w:rPr>
                <w:sz w:val="24"/>
              </w:rPr>
              <w:t>taken into account</w:t>
            </w:r>
            <w:proofErr w:type="gramEnd"/>
            <w:r w:rsidRPr="00E12C8F">
              <w:rPr>
                <w:sz w:val="24"/>
              </w:rPr>
              <w:t>, and if so, what?</w:t>
            </w:r>
          </w:p>
          <w:p w14:paraId="534B0F9C" w14:textId="77777777" w:rsidR="00EC0FE0" w:rsidRPr="00EC0FE0" w:rsidRDefault="00EC0FE0" w:rsidP="00EC0FE0">
            <w:pPr>
              <w:rPr>
                <w:sz w:val="24"/>
              </w:rPr>
            </w:pPr>
          </w:p>
        </w:tc>
        <w:tc>
          <w:tcPr>
            <w:tcW w:w="5670" w:type="dxa"/>
          </w:tcPr>
          <w:p w14:paraId="01A2C4F8" w14:textId="77777777" w:rsidR="00EC0FE0" w:rsidRDefault="00EC0FE0" w:rsidP="00C25D98">
            <w:pPr>
              <w:rPr>
                <w:rFonts w:cs="Arial"/>
                <w:sz w:val="24"/>
              </w:rPr>
            </w:pPr>
          </w:p>
        </w:tc>
      </w:tr>
      <w:tr w:rsidR="00E12C8F" w:rsidRPr="00CF795B" w14:paraId="38D6F0A6" w14:textId="77777777" w:rsidTr="008B6D32">
        <w:trPr>
          <w:trHeight w:val="264"/>
        </w:trPr>
        <w:tc>
          <w:tcPr>
            <w:tcW w:w="483" w:type="dxa"/>
          </w:tcPr>
          <w:p w14:paraId="6EBF9CD8" w14:textId="71AFBC9C" w:rsidR="00E12C8F" w:rsidRDefault="00BE21C9" w:rsidP="00C25D98">
            <w:pPr>
              <w:rPr>
                <w:rFonts w:cs="Arial"/>
                <w:sz w:val="24"/>
              </w:rPr>
            </w:pPr>
            <w:r>
              <w:rPr>
                <w:rFonts w:cs="Arial"/>
                <w:sz w:val="24"/>
              </w:rPr>
              <w:t>19</w:t>
            </w:r>
          </w:p>
        </w:tc>
        <w:tc>
          <w:tcPr>
            <w:tcW w:w="3374" w:type="dxa"/>
          </w:tcPr>
          <w:p w14:paraId="7AC0C1D9" w14:textId="77777777" w:rsidR="00175DA0" w:rsidRPr="00175DA0" w:rsidRDefault="00175DA0" w:rsidP="00175DA0">
            <w:pPr>
              <w:rPr>
                <w:sz w:val="24"/>
              </w:rPr>
            </w:pPr>
            <w:r w:rsidRPr="00175DA0">
              <w:rPr>
                <w:sz w:val="24"/>
              </w:rPr>
              <w:t xml:space="preserve">The Proposer is considering a potential alternative to utilise data that already exists within the onshore TOs’ Price Control Finance Models (PCFM) (page 25-26), attached in Annex 5. This based on the assumption that a portion of total onshore local charges is associated with </w:t>
            </w:r>
            <w:proofErr w:type="spellStart"/>
            <w:r w:rsidRPr="00175DA0">
              <w:rPr>
                <w:sz w:val="24"/>
              </w:rPr>
              <w:t>non pre-existing</w:t>
            </w:r>
            <w:proofErr w:type="spellEnd"/>
            <w:r w:rsidRPr="00175DA0">
              <w:rPr>
                <w:sz w:val="24"/>
              </w:rPr>
              <w:t xml:space="preserve"> assets, and that this portion can be derived by comparing the Generation Connections Volume Driver with the total revenue across all three onshore TOs. Do you support this option? Why?</w:t>
            </w:r>
          </w:p>
          <w:p w14:paraId="47F109FF" w14:textId="77777777" w:rsidR="00E12C8F" w:rsidRPr="00175DA0" w:rsidRDefault="00E12C8F" w:rsidP="00E12C8F">
            <w:pPr>
              <w:rPr>
                <w:sz w:val="24"/>
              </w:rPr>
            </w:pPr>
          </w:p>
        </w:tc>
        <w:tc>
          <w:tcPr>
            <w:tcW w:w="5670" w:type="dxa"/>
          </w:tcPr>
          <w:p w14:paraId="05195B79" w14:textId="77777777" w:rsidR="00E12C8F" w:rsidRDefault="00E12C8F" w:rsidP="00C25D98">
            <w:pPr>
              <w:rPr>
                <w:rFonts w:cs="Arial"/>
                <w:sz w:val="24"/>
              </w:rPr>
            </w:pPr>
          </w:p>
        </w:tc>
      </w:tr>
      <w:tr w:rsidR="00175DA0" w:rsidRPr="00CF795B" w14:paraId="050B6487" w14:textId="77777777" w:rsidTr="008B6D32">
        <w:trPr>
          <w:trHeight w:val="264"/>
        </w:trPr>
        <w:tc>
          <w:tcPr>
            <w:tcW w:w="483" w:type="dxa"/>
          </w:tcPr>
          <w:p w14:paraId="50FF4A36" w14:textId="2252005D" w:rsidR="00175DA0" w:rsidRDefault="00C267BC" w:rsidP="00C25D98">
            <w:pPr>
              <w:rPr>
                <w:rFonts w:cs="Arial"/>
                <w:sz w:val="24"/>
              </w:rPr>
            </w:pPr>
            <w:r>
              <w:rPr>
                <w:rFonts w:cs="Arial"/>
                <w:sz w:val="24"/>
              </w:rPr>
              <w:t>2</w:t>
            </w:r>
            <w:r w:rsidR="00BE21C9">
              <w:rPr>
                <w:rFonts w:cs="Arial"/>
                <w:sz w:val="24"/>
              </w:rPr>
              <w:t>0</w:t>
            </w:r>
          </w:p>
        </w:tc>
        <w:tc>
          <w:tcPr>
            <w:tcW w:w="3374" w:type="dxa"/>
          </w:tcPr>
          <w:p w14:paraId="77133640" w14:textId="77777777" w:rsidR="005872F3" w:rsidRPr="005872F3" w:rsidRDefault="005872F3" w:rsidP="005872F3">
            <w:pPr>
              <w:rPr>
                <w:sz w:val="24"/>
              </w:rPr>
            </w:pPr>
            <w:r w:rsidRPr="005872F3">
              <w:rPr>
                <w:sz w:val="24"/>
              </w:rPr>
              <w:t xml:space="preserve">Do you agree with the proposed definitions of </w:t>
            </w:r>
            <w:proofErr w:type="spellStart"/>
            <w:r w:rsidRPr="005872F3">
              <w:rPr>
                <w:sz w:val="24"/>
              </w:rPr>
              <w:t>non pre-existing</w:t>
            </w:r>
            <w:proofErr w:type="spellEnd"/>
            <w:r w:rsidRPr="005872F3">
              <w:rPr>
                <w:sz w:val="24"/>
              </w:rPr>
              <w:t xml:space="preserve"> assets ‘NPEA’ and pre-exiting assets ‘PEA’?</w:t>
            </w:r>
          </w:p>
          <w:p w14:paraId="6CCEE9A2" w14:textId="77777777" w:rsidR="00175DA0" w:rsidRPr="00175DA0" w:rsidRDefault="00175DA0" w:rsidP="00175DA0">
            <w:pPr>
              <w:rPr>
                <w:sz w:val="24"/>
              </w:rPr>
            </w:pPr>
          </w:p>
        </w:tc>
        <w:tc>
          <w:tcPr>
            <w:tcW w:w="5670" w:type="dxa"/>
          </w:tcPr>
          <w:p w14:paraId="58E5DAE5" w14:textId="77777777" w:rsidR="00175DA0" w:rsidRDefault="00175DA0" w:rsidP="00C25D98">
            <w:pPr>
              <w:rPr>
                <w:rFonts w:cs="Arial"/>
                <w:sz w:val="24"/>
              </w:rPr>
            </w:pPr>
          </w:p>
        </w:tc>
      </w:tr>
      <w:tr w:rsidR="005872F3" w:rsidRPr="00CF795B" w14:paraId="37903EAA" w14:textId="77777777" w:rsidTr="008B6D32">
        <w:trPr>
          <w:trHeight w:val="264"/>
        </w:trPr>
        <w:tc>
          <w:tcPr>
            <w:tcW w:w="483" w:type="dxa"/>
          </w:tcPr>
          <w:p w14:paraId="19CF2BB1" w14:textId="662F7DCD" w:rsidR="005872F3" w:rsidRDefault="00C267BC" w:rsidP="00C25D98">
            <w:pPr>
              <w:rPr>
                <w:rFonts w:cs="Arial"/>
                <w:sz w:val="24"/>
              </w:rPr>
            </w:pPr>
            <w:r>
              <w:rPr>
                <w:rFonts w:cs="Arial"/>
                <w:sz w:val="24"/>
              </w:rPr>
              <w:t>2</w:t>
            </w:r>
            <w:r w:rsidR="00BE21C9">
              <w:rPr>
                <w:rFonts w:cs="Arial"/>
                <w:sz w:val="24"/>
              </w:rPr>
              <w:t>1</w:t>
            </w:r>
          </w:p>
        </w:tc>
        <w:tc>
          <w:tcPr>
            <w:tcW w:w="3374" w:type="dxa"/>
          </w:tcPr>
          <w:p w14:paraId="1CCF55B6" w14:textId="77777777" w:rsidR="008607D5" w:rsidRPr="008607D5" w:rsidRDefault="008607D5" w:rsidP="008607D5">
            <w:pPr>
              <w:rPr>
                <w:sz w:val="24"/>
              </w:rPr>
            </w:pPr>
            <w:r w:rsidRPr="008607D5">
              <w:rPr>
                <w:sz w:val="24"/>
              </w:rPr>
              <w:t xml:space="preserve">Do you agree that the legal definitions in the Original Proposal should be limited to TNUoS charges only or </w:t>
            </w:r>
            <w:r w:rsidRPr="008607D5">
              <w:rPr>
                <w:sz w:val="24"/>
              </w:rPr>
              <w:lastRenderedPageBreak/>
              <w:t>include all transmission charges?</w:t>
            </w:r>
          </w:p>
          <w:p w14:paraId="3BCBEFB5" w14:textId="77777777" w:rsidR="005872F3" w:rsidRPr="005872F3" w:rsidRDefault="005872F3" w:rsidP="005872F3">
            <w:pPr>
              <w:rPr>
                <w:sz w:val="24"/>
              </w:rPr>
            </w:pPr>
          </w:p>
        </w:tc>
        <w:tc>
          <w:tcPr>
            <w:tcW w:w="5670" w:type="dxa"/>
          </w:tcPr>
          <w:p w14:paraId="19B7B465" w14:textId="77777777" w:rsidR="005872F3" w:rsidRDefault="005872F3" w:rsidP="00C25D98">
            <w:pPr>
              <w:rPr>
                <w:rFonts w:cs="Arial"/>
                <w:sz w:val="24"/>
              </w:rPr>
            </w:pPr>
          </w:p>
        </w:tc>
      </w:tr>
      <w:tr w:rsidR="008607D5" w:rsidRPr="00CF795B" w14:paraId="25C22CC4" w14:textId="77777777" w:rsidTr="008B6D32">
        <w:trPr>
          <w:trHeight w:val="264"/>
        </w:trPr>
        <w:tc>
          <w:tcPr>
            <w:tcW w:w="483" w:type="dxa"/>
          </w:tcPr>
          <w:p w14:paraId="34A33DDD" w14:textId="014D252B" w:rsidR="008607D5" w:rsidRDefault="00C267BC" w:rsidP="00C25D98">
            <w:pPr>
              <w:rPr>
                <w:rFonts w:cs="Arial"/>
                <w:sz w:val="24"/>
              </w:rPr>
            </w:pPr>
            <w:r>
              <w:rPr>
                <w:rFonts w:cs="Arial"/>
                <w:sz w:val="24"/>
              </w:rPr>
              <w:t>2</w:t>
            </w:r>
            <w:r w:rsidR="00BE21C9">
              <w:rPr>
                <w:rFonts w:cs="Arial"/>
                <w:sz w:val="24"/>
              </w:rPr>
              <w:t>2</w:t>
            </w:r>
          </w:p>
        </w:tc>
        <w:tc>
          <w:tcPr>
            <w:tcW w:w="3374" w:type="dxa"/>
          </w:tcPr>
          <w:p w14:paraId="2877E20E" w14:textId="77777777" w:rsidR="001F2D10" w:rsidRPr="00935E47" w:rsidRDefault="001F2D10" w:rsidP="00935E47">
            <w:pPr>
              <w:rPr>
                <w:sz w:val="24"/>
              </w:rPr>
            </w:pPr>
            <w:r w:rsidRPr="00935E47">
              <w:rPr>
                <w:sz w:val="24"/>
              </w:rPr>
              <w:t>Do you agree that the legal text delivers the intent of the Original Proposal?</w:t>
            </w:r>
          </w:p>
          <w:p w14:paraId="75890480" w14:textId="77777777" w:rsidR="008607D5" w:rsidRPr="008607D5" w:rsidRDefault="008607D5" w:rsidP="008607D5">
            <w:pPr>
              <w:rPr>
                <w:sz w:val="24"/>
              </w:rPr>
            </w:pPr>
            <w:bookmarkStart w:id="3" w:name="_GoBack"/>
            <w:bookmarkEnd w:id="3"/>
          </w:p>
        </w:tc>
        <w:tc>
          <w:tcPr>
            <w:tcW w:w="5670" w:type="dxa"/>
          </w:tcPr>
          <w:p w14:paraId="247E8BB4" w14:textId="77777777" w:rsidR="008607D5" w:rsidRDefault="008607D5" w:rsidP="00C25D98">
            <w:pPr>
              <w:rPr>
                <w:rFonts w:cs="Arial"/>
                <w:sz w:val="24"/>
              </w:rPr>
            </w:pPr>
          </w:p>
        </w:tc>
      </w:tr>
    </w:tbl>
    <w:p w14:paraId="0569E86E"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A8EF5" w14:textId="77777777" w:rsidR="009D7006" w:rsidRDefault="009D7006" w:rsidP="0006725A">
      <w:pPr>
        <w:spacing w:line="240" w:lineRule="auto"/>
      </w:pPr>
      <w:r>
        <w:separator/>
      </w:r>
    </w:p>
  </w:endnote>
  <w:endnote w:type="continuationSeparator" w:id="0">
    <w:p w14:paraId="32C45B5F" w14:textId="77777777" w:rsidR="009D7006" w:rsidRDefault="009D7006" w:rsidP="0006725A">
      <w:pPr>
        <w:spacing w:line="240" w:lineRule="auto"/>
      </w:pPr>
      <w:r>
        <w:continuationSeparator/>
      </w:r>
    </w:p>
  </w:endnote>
  <w:endnote w:type="continuationNotice" w:id="1">
    <w:p w14:paraId="2D56EFFF" w14:textId="77777777" w:rsidR="009D7006" w:rsidRDefault="009D70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267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388BE5A" w14:textId="77777777" w:rsidR="00B305B6" w:rsidRDefault="009D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2AB7" w14:textId="77777777" w:rsidR="009D7006" w:rsidRDefault="009D7006" w:rsidP="0006725A">
      <w:pPr>
        <w:spacing w:line="240" w:lineRule="auto"/>
      </w:pPr>
      <w:r>
        <w:separator/>
      </w:r>
    </w:p>
  </w:footnote>
  <w:footnote w:type="continuationSeparator" w:id="0">
    <w:p w14:paraId="10086AA2" w14:textId="77777777" w:rsidR="009D7006" w:rsidRDefault="009D7006" w:rsidP="0006725A">
      <w:pPr>
        <w:spacing w:line="240" w:lineRule="auto"/>
      </w:pPr>
      <w:r>
        <w:continuationSeparator/>
      </w:r>
    </w:p>
  </w:footnote>
  <w:footnote w:type="continuationNotice" w:id="1">
    <w:p w14:paraId="59981C22" w14:textId="77777777" w:rsidR="009D7006" w:rsidRDefault="009D70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EE92" w14:textId="13F63DC5"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54A1724" wp14:editId="46668C9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D64BD6" w:rsidRPr="009E1BFB">
      <w:t>CMP</w:t>
    </w:r>
    <w:r w:rsidR="009E1BFB" w:rsidRPr="009E1BFB">
      <w:t>368 &amp; CMP369</w:t>
    </w:r>
    <w:r w:rsidR="00DF10F2">
      <w:tab/>
    </w:r>
    <w:r w:rsidR="00DF10F2" w:rsidRPr="00C8499A">
      <w:t xml:space="preserve">Published on </w:t>
    </w:r>
    <w:r w:rsidR="0085560C">
      <w:t>11/06/2021</w:t>
    </w:r>
    <w:r w:rsidR="00DF10F2" w:rsidRPr="00C8499A">
      <w:t xml:space="preserve"> - respond by 5pm on </w:t>
    </w:r>
    <w:r w:rsidR="0085560C">
      <w:t>02/07/2021</w:t>
    </w:r>
  </w:p>
  <w:p w14:paraId="00172E2F" w14:textId="77777777" w:rsidR="004B76AD" w:rsidRDefault="009D7006"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F51"/>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242307"/>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9B023F"/>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55DEC"/>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710E16"/>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0D410A"/>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42F5B"/>
    <w:multiLevelType w:val="hybridMultilevel"/>
    <w:tmpl w:val="B4CA2208"/>
    <w:lvl w:ilvl="0" w:tplc="27F64C4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A3C60"/>
    <w:multiLevelType w:val="hybridMultilevel"/>
    <w:tmpl w:val="F1E2ECA0"/>
    <w:lvl w:ilvl="0" w:tplc="435A66D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E3581"/>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4C0492"/>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19E2772"/>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E6852"/>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8626A"/>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E7F31"/>
    <w:multiLevelType w:val="hybridMultilevel"/>
    <w:tmpl w:val="9898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A32A26"/>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AD1519"/>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72741B"/>
    <w:multiLevelType w:val="hybridMultilevel"/>
    <w:tmpl w:val="4FDC2B6E"/>
    <w:lvl w:ilvl="0" w:tplc="0809000F">
      <w:start w:val="1"/>
      <w:numFmt w:val="decimal"/>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19"/>
  </w:num>
  <w:num w:numId="3">
    <w:abstractNumId w:val="20"/>
  </w:num>
  <w:num w:numId="4">
    <w:abstractNumId w:val="22"/>
  </w:num>
  <w:num w:numId="5">
    <w:abstractNumId w:val="29"/>
  </w:num>
  <w:num w:numId="6">
    <w:abstractNumId w:val="18"/>
  </w:num>
  <w:num w:numId="7">
    <w:abstractNumId w:val="21"/>
  </w:num>
  <w:num w:numId="8">
    <w:abstractNumId w:val="32"/>
  </w:num>
  <w:num w:numId="9">
    <w:abstractNumId w:val="16"/>
  </w:num>
  <w:num w:numId="10">
    <w:abstractNumId w:val="15"/>
  </w:num>
  <w:num w:numId="11">
    <w:abstractNumId w:val="27"/>
  </w:num>
  <w:num w:numId="12">
    <w:abstractNumId w:val="2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1"/>
  </w:num>
  <w:num w:numId="17">
    <w:abstractNumId w:val="3"/>
  </w:num>
  <w:num w:numId="18">
    <w:abstractNumId w:val="26"/>
  </w:num>
  <w:num w:numId="19">
    <w:abstractNumId w:val="8"/>
  </w:num>
  <w:num w:numId="20">
    <w:abstractNumId w:val="25"/>
  </w:num>
  <w:num w:numId="21">
    <w:abstractNumId w:val="9"/>
  </w:num>
  <w:num w:numId="22">
    <w:abstractNumId w:val="10"/>
  </w:num>
  <w:num w:numId="23">
    <w:abstractNumId w:val="23"/>
  </w:num>
  <w:num w:numId="24">
    <w:abstractNumId w:val="14"/>
  </w:num>
  <w:num w:numId="25">
    <w:abstractNumId w:val="6"/>
  </w:num>
  <w:num w:numId="26">
    <w:abstractNumId w:val="33"/>
  </w:num>
  <w:num w:numId="27">
    <w:abstractNumId w:val="1"/>
  </w:num>
  <w:num w:numId="28">
    <w:abstractNumId w:val="17"/>
  </w:num>
  <w:num w:numId="29">
    <w:abstractNumId w:val="30"/>
  </w:num>
  <w:num w:numId="30">
    <w:abstractNumId w:val="28"/>
  </w:num>
  <w:num w:numId="31">
    <w:abstractNumId w:val="4"/>
  </w:num>
  <w:num w:numId="32">
    <w:abstractNumId w:val="2"/>
  </w:num>
  <w:num w:numId="33">
    <w:abstractNumId w:val="12"/>
  </w:num>
  <w:num w:numId="34">
    <w:abstractNumId w:val="0"/>
  </w:num>
  <w:num w:numId="35">
    <w:abstractNumId w:val="1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FB"/>
    <w:rsid w:val="00002675"/>
    <w:rsid w:val="00017BEB"/>
    <w:rsid w:val="00025496"/>
    <w:rsid w:val="0005398C"/>
    <w:rsid w:val="00056499"/>
    <w:rsid w:val="0006725A"/>
    <w:rsid w:val="0009093F"/>
    <w:rsid w:val="000B6E0C"/>
    <w:rsid w:val="000C1294"/>
    <w:rsid w:val="000C414A"/>
    <w:rsid w:val="000D146E"/>
    <w:rsid w:val="000E273C"/>
    <w:rsid w:val="00101C71"/>
    <w:rsid w:val="0010414F"/>
    <w:rsid w:val="00120E3B"/>
    <w:rsid w:val="00132DB3"/>
    <w:rsid w:val="00135ED3"/>
    <w:rsid w:val="001520AC"/>
    <w:rsid w:val="00175DA0"/>
    <w:rsid w:val="00183D8D"/>
    <w:rsid w:val="00194A6B"/>
    <w:rsid w:val="001A4908"/>
    <w:rsid w:val="001A7CE3"/>
    <w:rsid w:val="001E1C2F"/>
    <w:rsid w:val="001F2D10"/>
    <w:rsid w:val="001F3272"/>
    <w:rsid w:val="001F7E62"/>
    <w:rsid w:val="00217075"/>
    <w:rsid w:val="00250FDA"/>
    <w:rsid w:val="00253013"/>
    <w:rsid w:val="00281C6D"/>
    <w:rsid w:val="002917BC"/>
    <w:rsid w:val="002B4753"/>
    <w:rsid w:val="002D2F08"/>
    <w:rsid w:val="002D7074"/>
    <w:rsid w:val="002E23F8"/>
    <w:rsid w:val="002E610D"/>
    <w:rsid w:val="002F37FB"/>
    <w:rsid w:val="0030082C"/>
    <w:rsid w:val="003037DA"/>
    <w:rsid w:val="00313CDF"/>
    <w:rsid w:val="003277A6"/>
    <w:rsid w:val="00330039"/>
    <w:rsid w:val="00335EC1"/>
    <w:rsid w:val="00355842"/>
    <w:rsid w:val="00386948"/>
    <w:rsid w:val="003A5B22"/>
    <w:rsid w:val="003B4205"/>
    <w:rsid w:val="003B51E4"/>
    <w:rsid w:val="003C60F9"/>
    <w:rsid w:val="003C6C26"/>
    <w:rsid w:val="00410817"/>
    <w:rsid w:val="00414112"/>
    <w:rsid w:val="00441BF4"/>
    <w:rsid w:val="00445F87"/>
    <w:rsid w:val="00452409"/>
    <w:rsid w:val="00487329"/>
    <w:rsid w:val="004E166A"/>
    <w:rsid w:val="00525F6A"/>
    <w:rsid w:val="00532F9E"/>
    <w:rsid w:val="0053356C"/>
    <w:rsid w:val="00540D4E"/>
    <w:rsid w:val="00581ABC"/>
    <w:rsid w:val="005872F3"/>
    <w:rsid w:val="005A335F"/>
    <w:rsid w:val="005A7FFB"/>
    <w:rsid w:val="006103A5"/>
    <w:rsid w:val="00624675"/>
    <w:rsid w:val="006329D3"/>
    <w:rsid w:val="006408AA"/>
    <w:rsid w:val="00677103"/>
    <w:rsid w:val="00681451"/>
    <w:rsid w:val="0068786E"/>
    <w:rsid w:val="00697846"/>
    <w:rsid w:val="006C0224"/>
    <w:rsid w:val="006D40CE"/>
    <w:rsid w:val="006D6ECC"/>
    <w:rsid w:val="006E77DD"/>
    <w:rsid w:val="006F2E4E"/>
    <w:rsid w:val="006F6D23"/>
    <w:rsid w:val="006F7B19"/>
    <w:rsid w:val="00713E51"/>
    <w:rsid w:val="00760AB5"/>
    <w:rsid w:val="00790E02"/>
    <w:rsid w:val="00794A5E"/>
    <w:rsid w:val="007A2F7E"/>
    <w:rsid w:val="007D0BAB"/>
    <w:rsid w:val="007F5E50"/>
    <w:rsid w:val="00811809"/>
    <w:rsid w:val="008205E8"/>
    <w:rsid w:val="00836CFF"/>
    <w:rsid w:val="0085560C"/>
    <w:rsid w:val="008557B6"/>
    <w:rsid w:val="008607D5"/>
    <w:rsid w:val="00867B72"/>
    <w:rsid w:val="008756DD"/>
    <w:rsid w:val="008B6D32"/>
    <w:rsid w:val="008D402A"/>
    <w:rsid w:val="008D7CF7"/>
    <w:rsid w:val="008E2C41"/>
    <w:rsid w:val="009073D6"/>
    <w:rsid w:val="00935E47"/>
    <w:rsid w:val="00966F2B"/>
    <w:rsid w:val="00992946"/>
    <w:rsid w:val="00993847"/>
    <w:rsid w:val="009B165D"/>
    <w:rsid w:val="009B3CCB"/>
    <w:rsid w:val="009D3D60"/>
    <w:rsid w:val="009D7006"/>
    <w:rsid w:val="009E1BFB"/>
    <w:rsid w:val="009E4350"/>
    <w:rsid w:val="00A10CD1"/>
    <w:rsid w:val="00A174AE"/>
    <w:rsid w:val="00A41A04"/>
    <w:rsid w:val="00AA35D7"/>
    <w:rsid w:val="00AC4CF2"/>
    <w:rsid w:val="00AC695B"/>
    <w:rsid w:val="00AF6865"/>
    <w:rsid w:val="00AF7F74"/>
    <w:rsid w:val="00B22144"/>
    <w:rsid w:val="00B35516"/>
    <w:rsid w:val="00B44536"/>
    <w:rsid w:val="00B657DD"/>
    <w:rsid w:val="00B75DF3"/>
    <w:rsid w:val="00B760EF"/>
    <w:rsid w:val="00B96406"/>
    <w:rsid w:val="00B9723E"/>
    <w:rsid w:val="00B97BDE"/>
    <w:rsid w:val="00BD020A"/>
    <w:rsid w:val="00BD06B8"/>
    <w:rsid w:val="00BE21C9"/>
    <w:rsid w:val="00BE2538"/>
    <w:rsid w:val="00C11F83"/>
    <w:rsid w:val="00C204B9"/>
    <w:rsid w:val="00C267BC"/>
    <w:rsid w:val="00C40359"/>
    <w:rsid w:val="00C75B3F"/>
    <w:rsid w:val="00C8499A"/>
    <w:rsid w:val="00C92CCC"/>
    <w:rsid w:val="00CB6146"/>
    <w:rsid w:val="00CC6294"/>
    <w:rsid w:val="00CC6E43"/>
    <w:rsid w:val="00CF795B"/>
    <w:rsid w:val="00D14DB8"/>
    <w:rsid w:val="00D1705C"/>
    <w:rsid w:val="00D179EE"/>
    <w:rsid w:val="00D445C0"/>
    <w:rsid w:val="00D55757"/>
    <w:rsid w:val="00D56824"/>
    <w:rsid w:val="00D64BD6"/>
    <w:rsid w:val="00D64F52"/>
    <w:rsid w:val="00DB4E95"/>
    <w:rsid w:val="00DB5E1B"/>
    <w:rsid w:val="00DD16A0"/>
    <w:rsid w:val="00DD7180"/>
    <w:rsid w:val="00DF10F2"/>
    <w:rsid w:val="00E12C8F"/>
    <w:rsid w:val="00E25138"/>
    <w:rsid w:val="00E32B97"/>
    <w:rsid w:val="00E41F07"/>
    <w:rsid w:val="00E63832"/>
    <w:rsid w:val="00EB1523"/>
    <w:rsid w:val="00EC0FE0"/>
    <w:rsid w:val="00ED78A8"/>
    <w:rsid w:val="00EE1962"/>
    <w:rsid w:val="00EF6704"/>
    <w:rsid w:val="00F20303"/>
    <w:rsid w:val="00F20CA0"/>
    <w:rsid w:val="00F51984"/>
    <w:rsid w:val="00F61649"/>
    <w:rsid w:val="00F711FA"/>
    <w:rsid w:val="00F72ED7"/>
    <w:rsid w:val="00F76492"/>
    <w:rsid w:val="00FA1D51"/>
    <w:rsid w:val="00FB6E46"/>
    <w:rsid w:val="00FE0BA3"/>
    <w:rsid w:val="00FE2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D9078"/>
  <w15:chartTrackingRefBased/>
  <w15:docId w15:val="{93520A56-3AAE-4AD2-8E8D-6276C02B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D60"/>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table" w:styleId="TableGrid">
    <w:name w:val="Table Grid"/>
    <w:basedOn w:val="TableNormal"/>
    <w:uiPriority w:val="39"/>
    <w:rsid w:val="00697846"/>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850948523">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3545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CUSC\3.%20CUSC%20Modifications\CMP368%20and%20CMP369\6.%20Workgroups\Workgroup%203%203%20June%202021\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8201738BF64F339B97A4347AB54310"/>
        <w:category>
          <w:name w:val="General"/>
          <w:gallery w:val="placeholder"/>
        </w:category>
        <w:types>
          <w:type w:val="bbPlcHdr"/>
        </w:types>
        <w:behaviors>
          <w:behavior w:val="content"/>
        </w:behaviors>
        <w:guid w:val="{731AFF78-91D3-4CFB-A7DB-642E7421A1F1}"/>
      </w:docPartPr>
      <w:docPartBody>
        <w:p w:rsidR="00AF55DA" w:rsidRDefault="009B62D5">
          <w:pPr>
            <w:pStyle w:val="588201738BF64F339B97A4347AB54310"/>
          </w:pPr>
          <w:r w:rsidRPr="004C39B5">
            <w:rPr>
              <w:rStyle w:val="PlaceholderText"/>
            </w:rPr>
            <w:t>Click or tap here to enter text.</w:t>
          </w:r>
        </w:p>
      </w:docPartBody>
    </w:docPart>
    <w:docPart>
      <w:docPartPr>
        <w:name w:val="6D90CBC2B6CF48AB91D6A573EFCB4397"/>
        <w:category>
          <w:name w:val="General"/>
          <w:gallery w:val="placeholder"/>
        </w:category>
        <w:types>
          <w:type w:val="bbPlcHdr"/>
        </w:types>
        <w:behaviors>
          <w:behavior w:val="content"/>
        </w:behaviors>
        <w:guid w:val="{7B141A93-2B89-443A-949A-C7D0298A81AA}"/>
      </w:docPartPr>
      <w:docPartBody>
        <w:p w:rsidR="00AF55DA" w:rsidRDefault="009B62D5">
          <w:pPr>
            <w:pStyle w:val="6D90CBC2B6CF48AB91D6A573EFCB4397"/>
          </w:pPr>
          <w:r w:rsidRPr="004C39B5">
            <w:rPr>
              <w:rStyle w:val="PlaceholderText"/>
            </w:rPr>
            <w:t>Click or tap here to enter text.</w:t>
          </w:r>
        </w:p>
      </w:docPartBody>
    </w:docPart>
    <w:docPart>
      <w:docPartPr>
        <w:name w:val="F37B581F1EC34658A58BC8C8F96B4497"/>
        <w:category>
          <w:name w:val="General"/>
          <w:gallery w:val="placeholder"/>
        </w:category>
        <w:types>
          <w:type w:val="bbPlcHdr"/>
        </w:types>
        <w:behaviors>
          <w:behavior w:val="content"/>
        </w:behaviors>
        <w:guid w:val="{D1272ED6-2332-4952-93C6-4D7E112AA2ED}"/>
      </w:docPartPr>
      <w:docPartBody>
        <w:p w:rsidR="00AF55DA" w:rsidRDefault="009B62D5">
          <w:pPr>
            <w:pStyle w:val="F37B581F1EC34658A58BC8C8F96B4497"/>
          </w:pPr>
          <w:r w:rsidRPr="004C39B5">
            <w:rPr>
              <w:rStyle w:val="PlaceholderText"/>
            </w:rPr>
            <w:t>Click or tap here to enter text.</w:t>
          </w:r>
        </w:p>
      </w:docPartBody>
    </w:docPart>
    <w:docPart>
      <w:docPartPr>
        <w:name w:val="0FDF0F2B4C7946C4B8317B19795C1667"/>
        <w:category>
          <w:name w:val="General"/>
          <w:gallery w:val="placeholder"/>
        </w:category>
        <w:types>
          <w:type w:val="bbPlcHdr"/>
        </w:types>
        <w:behaviors>
          <w:behavior w:val="content"/>
        </w:behaviors>
        <w:guid w:val="{E4D705F2-2F76-46CB-AFB9-E886B155B72F}"/>
      </w:docPartPr>
      <w:docPartBody>
        <w:p w:rsidR="00AF55DA" w:rsidRDefault="009B62D5">
          <w:pPr>
            <w:pStyle w:val="0FDF0F2B4C7946C4B8317B19795C1667"/>
          </w:pPr>
          <w:r w:rsidRPr="004C39B5">
            <w:rPr>
              <w:rStyle w:val="PlaceholderText"/>
            </w:rPr>
            <w:t>Click or tap here to enter text.</w:t>
          </w:r>
        </w:p>
      </w:docPartBody>
    </w:docPart>
    <w:docPart>
      <w:docPartPr>
        <w:name w:val="9E31DBF2432848AB8BF6FD8528A7572F"/>
        <w:category>
          <w:name w:val="General"/>
          <w:gallery w:val="placeholder"/>
        </w:category>
        <w:types>
          <w:type w:val="bbPlcHdr"/>
        </w:types>
        <w:behaviors>
          <w:behavior w:val="content"/>
        </w:behaviors>
        <w:guid w:val="{39C6EBBA-F5F9-4E48-BF76-516F0BDAFC46}"/>
      </w:docPartPr>
      <w:docPartBody>
        <w:p w:rsidR="00AF55DA" w:rsidRDefault="009B62D5" w:rsidP="009B62D5">
          <w:pPr>
            <w:pStyle w:val="9E31DBF2432848AB8BF6FD8528A7572F"/>
          </w:pPr>
          <w:r w:rsidRPr="004C39B5">
            <w:rPr>
              <w:rStyle w:val="PlaceholderText"/>
            </w:rPr>
            <w:t>Click or tap here to enter text.</w:t>
          </w:r>
        </w:p>
      </w:docPartBody>
    </w:docPart>
    <w:docPart>
      <w:docPartPr>
        <w:name w:val="2BE949B24D8A47CFB78EA201CC994963"/>
        <w:category>
          <w:name w:val="General"/>
          <w:gallery w:val="placeholder"/>
        </w:category>
        <w:types>
          <w:type w:val="bbPlcHdr"/>
        </w:types>
        <w:behaviors>
          <w:behavior w:val="content"/>
        </w:behaviors>
        <w:guid w:val="{213F3C6B-A8BF-4FEF-B8AE-0789D0B309DD}"/>
      </w:docPartPr>
      <w:docPartBody>
        <w:p w:rsidR="00AF55DA" w:rsidRDefault="009B62D5" w:rsidP="009B62D5">
          <w:pPr>
            <w:pStyle w:val="2BE949B24D8A47CFB78EA201CC994963"/>
          </w:pPr>
          <w:r w:rsidRPr="004C39B5">
            <w:rPr>
              <w:rStyle w:val="PlaceholderText"/>
            </w:rPr>
            <w:t>Click or tap here to enter text.</w:t>
          </w:r>
        </w:p>
      </w:docPartBody>
    </w:docPart>
    <w:docPart>
      <w:docPartPr>
        <w:name w:val="15BB3709FFA64062B279BF980237F38E"/>
        <w:category>
          <w:name w:val="General"/>
          <w:gallery w:val="placeholder"/>
        </w:category>
        <w:types>
          <w:type w:val="bbPlcHdr"/>
        </w:types>
        <w:behaviors>
          <w:behavior w:val="content"/>
        </w:behaviors>
        <w:guid w:val="{CECB116C-AB03-4714-A88F-ED4CDC9C855D}"/>
      </w:docPartPr>
      <w:docPartBody>
        <w:p w:rsidR="00AF55DA" w:rsidRDefault="009B62D5" w:rsidP="009B62D5">
          <w:pPr>
            <w:pStyle w:val="15BB3709FFA64062B279BF980237F38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D5"/>
    <w:rsid w:val="003C68DC"/>
    <w:rsid w:val="0040262E"/>
    <w:rsid w:val="004B2D8A"/>
    <w:rsid w:val="006D1CA3"/>
    <w:rsid w:val="008615AA"/>
    <w:rsid w:val="009B62D5"/>
    <w:rsid w:val="00A778B3"/>
    <w:rsid w:val="00AF55DA"/>
    <w:rsid w:val="00D7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8DC"/>
    <w:rPr>
      <w:color w:val="808080"/>
    </w:rPr>
  </w:style>
  <w:style w:type="paragraph" w:customStyle="1" w:styleId="588201738BF64F339B97A4347AB54310">
    <w:name w:val="588201738BF64F339B97A4347AB54310"/>
  </w:style>
  <w:style w:type="paragraph" w:customStyle="1" w:styleId="6D90CBC2B6CF48AB91D6A573EFCB4397">
    <w:name w:val="6D90CBC2B6CF48AB91D6A573EFCB4397"/>
  </w:style>
  <w:style w:type="paragraph" w:customStyle="1" w:styleId="F37B581F1EC34658A58BC8C8F96B4497">
    <w:name w:val="F37B581F1EC34658A58BC8C8F96B4497"/>
  </w:style>
  <w:style w:type="paragraph" w:customStyle="1" w:styleId="0FDF0F2B4C7946C4B8317B19795C1667">
    <w:name w:val="0FDF0F2B4C7946C4B8317B19795C1667"/>
  </w:style>
  <w:style w:type="paragraph" w:customStyle="1" w:styleId="C52D1E0EA5634E2DAAD35285C5BAAE9B">
    <w:name w:val="C52D1E0EA5634E2DAAD35285C5BAAE9B"/>
  </w:style>
  <w:style w:type="paragraph" w:customStyle="1" w:styleId="FF39765FE574436D8044244864841700">
    <w:name w:val="FF39765FE574436D8044244864841700"/>
  </w:style>
  <w:style w:type="paragraph" w:customStyle="1" w:styleId="9E31DBF2432848AB8BF6FD8528A7572F">
    <w:name w:val="9E31DBF2432848AB8BF6FD8528A7572F"/>
    <w:rsid w:val="009B62D5"/>
  </w:style>
  <w:style w:type="paragraph" w:customStyle="1" w:styleId="2BE949B24D8A47CFB78EA201CC994963">
    <w:name w:val="2BE949B24D8A47CFB78EA201CC994963"/>
    <w:rsid w:val="009B62D5"/>
  </w:style>
  <w:style w:type="paragraph" w:customStyle="1" w:styleId="15BB3709FFA64062B279BF980237F38E">
    <w:name w:val="15BB3709FFA64062B279BF980237F38E"/>
    <w:rsid w:val="009B62D5"/>
  </w:style>
  <w:style w:type="paragraph" w:customStyle="1" w:styleId="238FA8DCE8ED4C3F9E1BA66EB53EA75E">
    <w:name w:val="238FA8DCE8ED4C3F9E1BA66EB53EA75E"/>
    <w:rsid w:val="009B62D5"/>
  </w:style>
  <w:style w:type="paragraph" w:customStyle="1" w:styleId="A4BEADA745984AF79CB23195C8031455">
    <w:name w:val="A4BEADA745984AF79CB23195C8031455"/>
    <w:rsid w:val="009B62D5"/>
  </w:style>
  <w:style w:type="paragraph" w:customStyle="1" w:styleId="4B328B17D33A4795A5BB36DB4D1E7B61">
    <w:name w:val="4B328B17D33A4795A5BB36DB4D1E7B61"/>
    <w:rsid w:val="009B62D5"/>
  </w:style>
  <w:style w:type="paragraph" w:customStyle="1" w:styleId="1086FB474B664E499DDF40317AEDB046">
    <w:name w:val="1086FB474B664E499DDF40317AEDB046"/>
    <w:rsid w:val="009B62D5"/>
  </w:style>
  <w:style w:type="paragraph" w:customStyle="1" w:styleId="FC95A6DAAEDE4FAE87CFA6979D95878F">
    <w:name w:val="FC95A6DAAEDE4FAE87CFA6979D95878F"/>
    <w:rsid w:val="009B62D5"/>
  </w:style>
  <w:style w:type="paragraph" w:customStyle="1" w:styleId="2459E54851A94AA1AF5363AAEFA1AE42">
    <w:name w:val="2459E54851A94AA1AF5363AAEFA1AE42"/>
    <w:rsid w:val="00A778B3"/>
  </w:style>
  <w:style w:type="paragraph" w:customStyle="1" w:styleId="896273B4332247BDB4D449FE549DDD93">
    <w:name w:val="896273B4332247BDB4D449FE549DDD93"/>
    <w:rsid w:val="00A778B3"/>
  </w:style>
  <w:style w:type="paragraph" w:customStyle="1" w:styleId="51B790CD0AD6471FAC3DFA093BAE5BCD">
    <w:name w:val="51B790CD0AD6471FAC3DFA093BAE5BCD"/>
    <w:rsid w:val="00A778B3"/>
  </w:style>
  <w:style w:type="paragraph" w:customStyle="1" w:styleId="083170A377F745329807582DFC3C5AFC">
    <w:name w:val="083170A377F745329807582DFC3C5AFC"/>
    <w:rsid w:val="00A778B3"/>
  </w:style>
  <w:style w:type="paragraph" w:customStyle="1" w:styleId="E0D8F3D6A83449999015348220A53256">
    <w:name w:val="E0D8F3D6A83449999015348220A53256"/>
    <w:rsid w:val="00A778B3"/>
  </w:style>
  <w:style w:type="paragraph" w:customStyle="1" w:styleId="85FE284644514E20A1B9274D0C95ADF5">
    <w:name w:val="85FE284644514E20A1B9274D0C95ADF5"/>
    <w:rsid w:val="00A778B3"/>
  </w:style>
  <w:style w:type="paragraph" w:customStyle="1" w:styleId="1A8F52571EC54F62A9564A4C84FBD863">
    <w:name w:val="1A8F52571EC54F62A9564A4C84FBD863"/>
    <w:rsid w:val="003C68DC"/>
  </w:style>
  <w:style w:type="paragraph" w:customStyle="1" w:styleId="AD2FDC9B1A8F4DBF9BBC3BC9B7990BFA">
    <w:name w:val="AD2FDC9B1A8F4DBF9BBC3BC9B7990BFA"/>
    <w:rsid w:val="003C68DC"/>
  </w:style>
  <w:style w:type="paragraph" w:customStyle="1" w:styleId="E73DF0E6491F4AF2933CBF986167CD6C">
    <w:name w:val="E73DF0E6491F4AF2933CBF986167CD6C"/>
    <w:rsid w:val="003C6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22CFA-87C9-45A8-BB40-38957C243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98</TotalTime>
  <Pages>7</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Groome (ESO), Jennifer</cp:lastModifiedBy>
  <cp:revision>50</cp:revision>
  <dcterms:created xsi:type="dcterms:W3CDTF">2021-06-09T13:13:00Z</dcterms:created>
  <dcterms:modified xsi:type="dcterms:W3CDTF">2021-06-18T12:59:00Z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