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r>
              <w:rPr>
                <w:rFonts w:cs="Arial"/>
                <w:b/>
                <w:sz w:val="28"/>
                <w:szCs w:val="28"/>
              </w:rPr>
              <w:t>Grid Code</w:t>
            </w:r>
            <w:r w:rsidR="00EE54D4">
              <w:rPr>
                <w:rFonts w:cs="Arial"/>
                <w:b/>
                <w:sz w:val="28"/>
                <w:szCs w:val="28"/>
              </w:rPr>
              <w:t xml:space="preserve"> Alternative Form</w:t>
            </w:r>
          </w:p>
        </w:tc>
      </w:tr>
      <w:tr w:rsidR="005C2D1D" w:rsidRPr="00EB32BB" w14:paraId="18ACFA02" w14:textId="77777777" w:rsidTr="00483C67">
        <w:trPr>
          <w:trHeight w:val="2438"/>
        </w:trPr>
        <w:tc>
          <w:tcPr>
            <w:tcW w:w="10070" w:type="dxa"/>
            <w:shd w:val="clear" w:color="auto" w:fill="auto"/>
          </w:tcPr>
          <w:p w14:paraId="2161799B" w14:textId="77777777" w:rsidR="005A646C" w:rsidRPr="005A646C" w:rsidRDefault="00350A4E" w:rsidP="005A646C">
            <w:pPr>
              <w:rPr>
                <w:rFonts w:cs="Arial"/>
                <w:b/>
                <w:bCs/>
                <w:color w:val="F26522" w:themeColor="accent1"/>
                <w:sz w:val="28"/>
              </w:rPr>
            </w:pPr>
            <w:r>
              <w:rPr>
                <w:rFonts w:cs="Arial"/>
                <w:b/>
                <w:color w:val="F26522" w:themeColor="accent1"/>
                <w:sz w:val="28"/>
              </w:rPr>
              <w:t>GC01</w:t>
            </w:r>
            <w:r w:rsidR="005A646C">
              <w:rPr>
                <w:rFonts w:cs="Arial"/>
                <w:b/>
                <w:color w:val="F26522" w:themeColor="accent1"/>
                <w:sz w:val="28"/>
              </w:rPr>
              <w:t>38</w:t>
            </w:r>
            <w:r>
              <w:rPr>
                <w:rFonts w:cs="Arial"/>
                <w:b/>
                <w:color w:val="F26522" w:themeColor="accent1"/>
                <w:sz w:val="28"/>
              </w:rPr>
              <w:t xml:space="preserve">: </w:t>
            </w:r>
            <w:r w:rsidR="005A646C" w:rsidRPr="005A646C">
              <w:rPr>
                <w:rFonts w:cs="Arial"/>
                <w:b/>
                <w:bCs/>
                <w:color w:val="F26522" w:themeColor="accent1"/>
                <w:sz w:val="28"/>
              </w:rPr>
              <w:t>Compliance process technical improvements (EU and GB User)</w:t>
            </w:r>
          </w:p>
          <w:p w14:paraId="40C6294D" w14:textId="77777777" w:rsidR="002C3E7E" w:rsidRPr="002C3E7E" w:rsidRDefault="002C3E7E" w:rsidP="002C3E7E">
            <w:pPr>
              <w:spacing w:before="0" w:after="0" w:line="240" w:lineRule="auto"/>
              <w:rPr>
                <w:iCs/>
                <w:lang w:val="en-US"/>
              </w:rPr>
            </w:pPr>
            <w:r w:rsidRPr="002C3E7E">
              <w:rPr>
                <w:iCs/>
                <w:lang w:val="en-US"/>
              </w:rPr>
              <w:t>This Modification seeks to update the existing compliance processes to:</w:t>
            </w:r>
          </w:p>
          <w:p w14:paraId="0D2B393B" w14:textId="77777777" w:rsidR="002C3E7E" w:rsidRPr="002C3E7E" w:rsidRDefault="002C3E7E" w:rsidP="002C3E7E">
            <w:pPr>
              <w:numPr>
                <w:ilvl w:val="0"/>
                <w:numId w:val="46"/>
              </w:numPr>
              <w:spacing w:before="0" w:after="0" w:line="240" w:lineRule="auto"/>
              <w:rPr>
                <w:iCs/>
                <w:lang w:val="en-US"/>
              </w:rPr>
            </w:pPr>
            <w:r w:rsidRPr="002C3E7E">
              <w:rPr>
                <w:iCs/>
                <w:lang w:val="en-US"/>
              </w:rPr>
              <w:t>Allow for more efficient delivery of a successful and quick turnaround of final site compliance testing,</w:t>
            </w:r>
          </w:p>
          <w:p w14:paraId="4E3F4022" w14:textId="77777777" w:rsidR="002C3E7E" w:rsidRPr="002C3E7E" w:rsidRDefault="002C3E7E" w:rsidP="002C3E7E">
            <w:pPr>
              <w:numPr>
                <w:ilvl w:val="0"/>
                <w:numId w:val="46"/>
              </w:numPr>
              <w:spacing w:before="0" w:after="0" w:line="240" w:lineRule="auto"/>
              <w:rPr>
                <w:iCs/>
                <w:lang w:val="en-US"/>
              </w:rPr>
            </w:pPr>
            <w:r w:rsidRPr="002C3E7E">
              <w:rPr>
                <w:iCs/>
                <w:lang w:val="en-US"/>
              </w:rPr>
              <w:t>Facilitate developments in generation and HVDC technology while maintaining effectiveness of compliance process</w:t>
            </w:r>
          </w:p>
          <w:p w14:paraId="35ABBE36" w14:textId="6B8C3EED" w:rsidR="005C2D1D" w:rsidRPr="00A6159E" w:rsidRDefault="002C3E7E" w:rsidP="002C3E7E">
            <w:pPr>
              <w:spacing w:before="0" w:after="0" w:line="240" w:lineRule="auto"/>
              <w:rPr>
                <w:rFonts w:cs="Arial"/>
                <w:b/>
                <w:color w:val="F26522" w:themeColor="accent1"/>
                <w:sz w:val="24"/>
                <w:szCs w:val="20"/>
              </w:rPr>
            </w:pPr>
            <w:r w:rsidRPr="002C3E7E">
              <w:rPr>
                <w:iCs/>
                <w:lang w:val="en-US"/>
              </w:rPr>
              <w:t>Strengthen effectiveness of simulations.</w:t>
            </w: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r w:rsidRPr="00FB2FB5">
              <w:rPr>
                <w:rFonts w:cs="Arial"/>
                <w:b/>
                <w:bCs/>
                <w:color w:val="FFFFFF" w:themeColor="background1"/>
                <w:sz w:val="24"/>
              </w:rPr>
              <w:t>Guidance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0" w:name="_Executive_Summary"/>
      <w:bookmarkStart w:id="1" w:name="_Workgroup_Consultation_Introduction"/>
      <w:bookmarkEnd w:id="0"/>
      <w:bookmarkEnd w:id="1"/>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bookmarkStart w:id="2" w:name="_GoBack"/>
      <w:bookmarkEnd w:id="2"/>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3"/>
      <w:r w:rsidRPr="000B6ADA">
        <w:rPr>
          <w:sz w:val="24"/>
        </w:rPr>
        <w:t>[Insert</w:t>
      </w:r>
      <w:r>
        <w:rPr>
          <w:sz w:val="24"/>
        </w:rPr>
        <w:t xml:space="preserve"> your solution</w:t>
      </w:r>
      <w:r w:rsidRPr="000B6ADA">
        <w:rPr>
          <w:sz w:val="24"/>
        </w:rPr>
        <w:t>]</w:t>
      </w:r>
      <w:commentRangeEnd w:id="3"/>
      <w:r>
        <w:rPr>
          <w:rStyle w:val="CommentReference"/>
        </w:rPr>
        <w:commentReference w:id="3"/>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915BAC">
        <w:trPr>
          <w:trHeight w:hRule="exact" w:val="561"/>
        </w:trPr>
        <w:tc>
          <w:tcPr>
            <w:tcW w:w="9209" w:type="dxa"/>
            <w:gridSpan w:val="2"/>
            <w:shd w:val="clear" w:color="auto" w:fill="F26522" w:themeFill="accent1"/>
            <w:vAlign w:val="center"/>
          </w:tcPr>
          <w:p w14:paraId="0D864108" w14:textId="77777777" w:rsidR="00941E4C" w:rsidRPr="00314414" w:rsidRDefault="00941E4C" w:rsidP="00915BAC">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915BAC">
        <w:trPr>
          <w:trHeight w:val="397"/>
        </w:trPr>
        <w:tc>
          <w:tcPr>
            <w:tcW w:w="6478" w:type="dxa"/>
          </w:tcPr>
          <w:p w14:paraId="3B3C1211" w14:textId="77777777" w:rsidR="00941E4C" w:rsidRPr="006A726B" w:rsidRDefault="00941E4C" w:rsidP="00915BAC">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915BAC">
            <w:pPr>
              <w:ind w:left="113" w:right="113"/>
              <w:rPr>
                <w:b/>
                <w:sz w:val="24"/>
                <w:szCs w:val="20"/>
              </w:rPr>
            </w:pPr>
            <w:r w:rsidRPr="006A726B">
              <w:rPr>
                <w:b/>
                <w:sz w:val="24"/>
                <w:szCs w:val="20"/>
              </w:rPr>
              <w:t>Identified impact</w:t>
            </w:r>
          </w:p>
        </w:tc>
      </w:tr>
      <w:tr w:rsidR="00941E4C" w:rsidRPr="00C73CBB" w14:paraId="0F803E6F" w14:textId="77777777" w:rsidTr="00915BAC">
        <w:trPr>
          <w:trHeight w:val="397"/>
        </w:trPr>
        <w:tc>
          <w:tcPr>
            <w:tcW w:w="6478" w:type="dxa"/>
          </w:tcPr>
          <w:p w14:paraId="615A3532"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915BAC">
            <w:pPr>
              <w:spacing w:before="40"/>
              <w:ind w:left="113"/>
              <w:rPr>
                <w:sz w:val="24"/>
                <w:szCs w:val="20"/>
              </w:rPr>
            </w:pPr>
            <w:commentRangeStart w:id="4"/>
            <w:r w:rsidRPr="00D1569D">
              <w:rPr>
                <w:b/>
                <w:sz w:val="24"/>
              </w:rPr>
              <w:t>Positive/Negative/None:</w:t>
            </w:r>
            <w:r w:rsidRPr="00D1569D">
              <w:rPr>
                <w:sz w:val="24"/>
              </w:rPr>
              <w:t xml:space="preserve"> [Please provide rationale]</w:t>
            </w:r>
            <w:commentRangeEnd w:id="4"/>
            <w:r>
              <w:rPr>
                <w:rStyle w:val="CommentReference"/>
              </w:rPr>
              <w:commentReference w:id="4"/>
            </w:r>
          </w:p>
        </w:tc>
      </w:tr>
      <w:tr w:rsidR="00941E4C" w:rsidRPr="00C73CBB" w14:paraId="021D4B38" w14:textId="77777777" w:rsidTr="00915BAC">
        <w:trPr>
          <w:trHeight w:val="397"/>
        </w:trPr>
        <w:tc>
          <w:tcPr>
            <w:tcW w:w="6478" w:type="dxa"/>
          </w:tcPr>
          <w:p w14:paraId="45E7F0C8"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915BAC">
        <w:trPr>
          <w:trHeight w:val="397"/>
        </w:trPr>
        <w:tc>
          <w:tcPr>
            <w:tcW w:w="6478" w:type="dxa"/>
          </w:tcPr>
          <w:p w14:paraId="38DB677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915BAC">
        <w:trPr>
          <w:trHeight w:val="397"/>
        </w:trPr>
        <w:tc>
          <w:tcPr>
            <w:tcW w:w="6478" w:type="dxa"/>
          </w:tcPr>
          <w:p w14:paraId="1500030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915BAC">
        <w:trPr>
          <w:trHeight w:val="397"/>
        </w:trPr>
        <w:tc>
          <w:tcPr>
            <w:tcW w:w="6478" w:type="dxa"/>
          </w:tcPr>
          <w:p w14:paraId="000A7538" w14:textId="77777777" w:rsidR="00941E4C" w:rsidRPr="006A726B" w:rsidRDefault="00941E4C" w:rsidP="00915BAC">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5"/>
      <w:r w:rsidRPr="00AC04D3">
        <w:rPr>
          <w:sz w:val="24"/>
        </w:rPr>
        <w:lastRenderedPageBreak/>
        <w:t>[Insert approach]</w:t>
      </w:r>
      <w:commentRangeEnd w:id="5"/>
      <w:r>
        <w:rPr>
          <w:rStyle w:val="CommentReference"/>
        </w:rPr>
        <w:commentReference w:id="5"/>
      </w:r>
    </w:p>
    <w:p w14:paraId="0E267E81" w14:textId="75CFE56A" w:rsidR="00E65196" w:rsidRDefault="00E65196" w:rsidP="00E25874">
      <w:bookmarkStart w:id="6" w:name="_Workgroup_Consultation_1"/>
      <w:bookmarkEnd w:id="6"/>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7" w:name="_How_to_respond"/>
      <w:bookmarkEnd w:id="7"/>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8"/>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8"/>
            <w:r w:rsidR="00AC04D3">
              <w:rPr>
                <w:rStyle w:val="CommentReference"/>
                <w:lang w:val="en-GB"/>
              </w:rPr>
              <w:commentReference w:id="8"/>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9"/>
      <w:r w:rsidRPr="00250A22">
        <w:rPr>
          <w:b/>
          <w:sz w:val="24"/>
        </w:rPr>
        <w:t>Reference material:</w:t>
      </w:r>
    </w:p>
    <w:commentRangeEnd w:id="9"/>
    <w:p w14:paraId="28DBF18E" w14:textId="3A5658B6" w:rsidR="00754610" w:rsidRDefault="00AC04D3" w:rsidP="00754610">
      <w:pPr>
        <w:pStyle w:val="ListParagraph"/>
        <w:numPr>
          <w:ilvl w:val="0"/>
          <w:numId w:val="28"/>
        </w:numPr>
        <w:rPr>
          <w:sz w:val="24"/>
        </w:rPr>
      </w:pPr>
      <w:r>
        <w:rPr>
          <w:rStyle w:val="CommentReference"/>
        </w:rPr>
        <w:commentReference w:id="9"/>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4"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5"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8"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9"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36739E" w16cid:durableId="23F1FC3B"/>
  <w16cid:commentId w16cid:paraId="2C186AB2" w16cid:durableId="23F1FC3C"/>
  <w16cid:commentId w16cid:paraId="1FAAB578" w16cid:durableId="23F1FC3D"/>
  <w16cid:commentId w16cid:paraId="66413A4A" w16cid:durableId="23F1FC3E"/>
  <w16cid:commentId w16cid:paraId="4A2BAF43" w16cid:durableId="23F1FC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5EFBC" w14:textId="77777777" w:rsidR="00906A9E" w:rsidRDefault="00906A9E" w:rsidP="00D06DC4">
      <w:pPr>
        <w:spacing w:before="0" w:after="0" w:line="240" w:lineRule="auto"/>
      </w:pPr>
      <w:r>
        <w:separator/>
      </w:r>
    </w:p>
  </w:endnote>
  <w:endnote w:type="continuationSeparator" w:id="0">
    <w:p w14:paraId="0DBBB69B" w14:textId="77777777" w:rsidR="00906A9E" w:rsidRDefault="00906A9E" w:rsidP="00D06DC4">
      <w:pPr>
        <w:spacing w:before="0" w:after="0" w:line="240" w:lineRule="auto"/>
      </w:pPr>
      <w:r>
        <w:continuationSeparator/>
      </w:r>
    </w:p>
  </w:endnote>
  <w:endnote w:type="continuationNotice" w:id="1">
    <w:p w14:paraId="76BB11F2" w14:textId="77777777" w:rsidR="00906A9E" w:rsidRDefault="00906A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54D1D02D"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350A4E">
      <w:rPr>
        <w:rFonts w:cs="Arial"/>
        <w:noProof/>
        <w:sz w:val="16"/>
        <w:szCs w:val="16"/>
        <w:lang w:val="en-US"/>
      </w:rPr>
      <w:t>1</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350A4E">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C8C8B" w14:textId="77777777" w:rsidR="00906A9E" w:rsidRDefault="00906A9E" w:rsidP="00D06DC4">
      <w:pPr>
        <w:spacing w:before="0" w:after="0" w:line="240" w:lineRule="auto"/>
      </w:pPr>
      <w:r>
        <w:separator/>
      </w:r>
    </w:p>
  </w:footnote>
  <w:footnote w:type="continuationSeparator" w:id="0">
    <w:p w14:paraId="64FE4CF8" w14:textId="77777777" w:rsidR="00906A9E" w:rsidRDefault="00906A9E" w:rsidP="00D06DC4">
      <w:pPr>
        <w:spacing w:before="0" w:after="0" w:line="240" w:lineRule="auto"/>
      </w:pPr>
      <w:r>
        <w:continuationSeparator/>
      </w:r>
    </w:p>
  </w:footnote>
  <w:footnote w:type="continuationNotice" w:id="1">
    <w:p w14:paraId="2BB22A86" w14:textId="77777777" w:rsidR="00906A9E" w:rsidRDefault="00906A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46D86DA" w:rsidR="00B8588F" w:rsidRDefault="00B8588F" w:rsidP="000C711B">
    <w:pPr>
      <w:pStyle w:val="Header"/>
      <w:ind w:left="720" w:firstLine="720"/>
      <w:jc w:val="right"/>
    </w:pPr>
    <w:bookmarkStart w:id="10" w:name="_Hlk31876634"/>
    <w:bookmarkStart w:id="11" w:name="_Hlk31876635"/>
    <w:r w:rsidRPr="00184853">
      <w:rPr>
        <w:noProof/>
        <w:lang w:val="en-US" w:eastAsia="en-US"/>
      </w:rPr>
      <w:drawing>
        <wp:anchor distT="0" distB="0" distL="114300" distR="114300" simplePos="0" relativeHeight="251657216"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350A4E">
      <w:t>01</w:t>
    </w:r>
    <w:r w:rsidR="00BB03B9">
      <w:t>38</w:t>
    </w:r>
    <w:r w:rsidR="00F15028">
      <w:t xml:space="preserve"> Alternative X</w:t>
    </w:r>
    <w:r>
      <w:tab/>
    </w:r>
    <w:bookmarkEnd w:id="10"/>
    <w:bookmarkEnd w:id="11"/>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54E12"/>
    <w:multiLevelType w:val="hybridMultilevel"/>
    <w:tmpl w:val="8048CF22"/>
    <w:lvl w:ilvl="0" w:tplc="CC5EBC5C">
      <w:start w:val="1"/>
      <w:numFmt w:val="bullet"/>
      <w:lvlText w:val=""/>
      <w:lvlJc w:val="left"/>
      <w:pPr>
        <w:tabs>
          <w:tab w:val="num" w:pos="720"/>
        </w:tabs>
        <w:ind w:left="720" w:hanging="360"/>
      </w:pPr>
      <w:rPr>
        <w:rFonts w:ascii="Symbol" w:hAnsi="Symbol" w:hint="default"/>
        <w:sz w:val="20"/>
      </w:rPr>
    </w:lvl>
    <w:lvl w:ilvl="1" w:tplc="C4463DE4" w:tentative="1">
      <w:start w:val="1"/>
      <w:numFmt w:val="bullet"/>
      <w:lvlText w:val="o"/>
      <w:lvlJc w:val="left"/>
      <w:pPr>
        <w:tabs>
          <w:tab w:val="num" w:pos="1440"/>
        </w:tabs>
        <w:ind w:left="1440" w:hanging="360"/>
      </w:pPr>
      <w:rPr>
        <w:rFonts w:ascii="Courier New" w:hAnsi="Courier New" w:hint="default"/>
        <w:sz w:val="20"/>
      </w:rPr>
    </w:lvl>
    <w:lvl w:ilvl="2" w:tplc="AB6A8AA4" w:tentative="1">
      <w:start w:val="1"/>
      <w:numFmt w:val="bullet"/>
      <w:lvlText w:val=""/>
      <w:lvlJc w:val="left"/>
      <w:pPr>
        <w:tabs>
          <w:tab w:val="num" w:pos="2160"/>
        </w:tabs>
        <w:ind w:left="2160" w:hanging="360"/>
      </w:pPr>
      <w:rPr>
        <w:rFonts w:ascii="Wingdings" w:hAnsi="Wingdings" w:hint="default"/>
        <w:sz w:val="20"/>
      </w:rPr>
    </w:lvl>
    <w:lvl w:ilvl="3" w:tplc="1BF037AA" w:tentative="1">
      <w:start w:val="1"/>
      <w:numFmt w:val="bullet"/>
      <w:lvlText w:val=""/>
      <w:lvlJc w:val="left"/>
      <w:pPr>
        <w:tabs>
          <w:tab w:val="num" w:pos="2880"/>
        </w:tabs>
        <w:ind w:left="2880" w:hanging="360"/>
      </w:pPr>
      <w:rPr>
        <w:rFonts w:ascii="Wingdings" w:hAnsi="Wingdings" w:hint="default"/>
        <w:sz w:val="20"/>
      </w:rPr>
    </w:lvl>
    <w:lvl w:ilvl="4" w:tplc="FBB84CAC" w:tentative="1">
      <w:start w:val="1"/>
      <w:numFmt w:val="bullet"/>
      <w:lvlText w:val=""/>
      <w:lvlJc w:val="left"/>
      <w:pPr>
        <w:tabs>
          <w:tab w:val="num" w:pos="3600"/>
        </w:tabs>
        <w:ind w:left="3600" w:hanging="360"/>
      </w:pPr>
      <w:rPr>
        <w:rFonts w:ascii="Wingdings" w:hAnsi="Wingdings" w:hint="default"/>
        <w:sz w:val="20"/>
      </w:rPr>
    </w:lvl>
    <w:lvl w:ilvl="5" w:tplc="CADAC4D2" w:tentative="1">
      <w:start w:val="1"/>
      <w:numFmt w:val="bullet"/>
      <w:lvlText w:val=""/>
      <w:lvlJc w:val="left"/>
      <w:pPr>
        <w:tabs>
          <w:tab w:val="num" w:pos="4320"/>
        </w:tabs>
        <w:ind w:left="4320" w:hanging="360"/>
      </w:pPr>
      <w:rPr>
        <w:rFonts w:ascii="Wingdings" w:hAnsi="Wingdings" w:hint="default"/>
        <w:sz w:val="20"/>
      </w:rPr>
    </w:lvl>
    <w:lvl w:ilvl="6" w:tplc="3A400490" w:tentative="1">
      <w:start w:val="1"/>
      <w:numFmt w:val="bullet"/>
      <w:lvlText w:val=""/>
      <w:lvlJc w:val="left"/>
      <w:pPr>
        <w:tabs>
          <w:tab w:val="num" w:pos="5040"/>
        </w:tabs>
        <w:ind w:left="5040" w:hanging="360"/>
      </w:pPr>
      <w:rPr>
        <w:rFonts w:ascii="Wingdings" w:hAnsi="Wingdings" w:hint="default"/>
        <w:sz w:val="20"/>
      </w:rPr>
    </w:lvl>
    <w:lvl w:ilvl="7" w:tplc="636C9512" w:tentative="1">
      <w:start w:val="1"/>
      <w:numFmt w:val="bullet"/>
      <w:lvlText w:val=""/>
      <w:lvlJc w:val="left"/>
      <w:pPr>
        <w:tabs>
          <w:tab w:val="num" w:pos="5760"/>
        </w:tabs>
        <w:ind w:left="5760" w:hanging="360"/>
      </w:pPr>
      <w:rPr>
        <w:rFonts w:ascii="Wingdings" w:hAnsi="Wingdings" w:hint="default"/>
        <w:sz w:val="20"/>
      </w:rPr>
    </w:lvl>
    <w:lvl w:ilvl="8" w:tplc="6D1E93F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2"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2"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34"/>
  </w:num>
  <w:num w:numId="4">
    <w:abstractNumId w:val="18"/>
  </w:num>
  <w:num w:numId="5">
    <w:abstractNumId w:val="9"/>
  </w:num>
  <w:num w:numId="6">
    <w:abstractNumId w:val="19"/>
  </w:num>
  <w:num w:numId="7">
    <w:abstractNumId w:val="12"/>
  </w:num>
  <w:num w:numId="8">
    <w:abstractNumId w:val="43"/>
  </w:num>
  <w:num w:numId="9">
    <w:abstractNumId w:val="17"/>
  </w:num>
  <w:num w:numId="10">
    <w:abstractNumId w:val="5"/>
  </w:num>
  <w:num w:numId="11">
    <w:abstractNumId w:val="10"/>
  </w:num>
  <w:num w:numId="12">
    <w:abstractNumId w:val="39"/>
  </w:num>
  <w:num w:numId="13">
    <w:abstractNumId w:val="25"/>
  </w:num>
  <w:num w:numId="14">
    <w:abstractNumId w:val="21"/>
  </w:num>
  <w:num w:numId="15">
    <w:abstractNumId w:val="1"/>
  </w:num>
  <w:num w:numId="16">
    <w:abstractNumId w:val="37"/>
  </w:num>
  <w:num w:numId="17">
    <w:abstractNumId w:val="33"/>
  </w:num>
  <w:num w:numId="18">
    <w:abstractNumId w:val="20"/>
  </w:num>
  <w:num w:numId="19">
    <w:abstractNumId w:val="14"/>
  </w:num>
  <w:num w:numId="20">
    <w:abstractNumId w:val="8"/>
  </w:num>
  <w:num w:numId="21">
    <w:abstractNumId w:val="28"/>
  </w:num>
  <w:num w:numId="22">
    <w:abstractNumId w:val="31"/>
  </w:num>
  <w:num w:numId="23">
    <w:abstractNumId w:val="4"/>
  </w:num>
  <w:num w:numId="24">
    <w:abstractNumId w:val="15"/>
  </w:num>
  <w:num w:numId="25">
    <w:abstractNumId w:val="42"/>
  </w:num>
  <w:num w:numId="26">
    <w:abstractNumId w:val="11"/>
  </w:num>
  <w:num w:numId="27">
    <w:abstractNumId w:val="27"/>
  </w:num>
  <w:num w:numId="28">
    <w:abstractNumId w:val="7"/>
  </w:num>
  <w:num w:numId="29">
    <w:abstractNumId w:val="30"/>
  </w:num>
  <w:num w:numId="30">
    <w:abstractNumId w:val="38"/>
  </w:num>
  <w:num w:numId="31">
    <w:abstractNumId w:val="35"/>
  </w:num>
  <w:num w:numId="32">
    <w:abstractNumId w:val="0"/>
  </w:num>
  <w:num w:numId="33">
    <w:abstractNumId w:val="23"/>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35"/>
  </w:num>
  <w:num w:numId="39">
    <w:abstractNumId w:val="16"/>
  </w:num>
  <w:num w:numId="40">
    <w:abstractNumId w:val="35"/>
  </w:num>
  <w:num w:numId="41">
    <w:abstractNumId w:val="2"/>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6"/>
  </w:num>
  <w:num w:numId="45">
    <w:abstractNumId w:val="24"/>
  </w:num>
  <w:num w:numId="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4F8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3E7E"/>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9BB"/>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0A4E"/>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347"/>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646C"/>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140"/>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6A9E"/>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03B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340279515">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920064063">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7b6fe81-1556-4112-94ca-31043ca39b71"/>
    <ds:schemaRef ds:uri="dec74c4c-1639-4502-8f90-b4ce03410dfb"/>
    <ds:schemaRef ds:uri="http://www.w3.org/XML/1998/namespace"/>
    <ds:schemaRef ds:uri="http://purl.org/dc/dcmitype/"/>
  </ds:schemaRefs>
</ds:datastoreItem>
</file>

<file path=customXml/itemProps3.xml><?xml version="1.0" encoding="utf-8"?>
<ds:datastoreItem xmlns:ds="http://schemas.openxmlformats.org/officeDocument/2006/customXml" ds:itemID="{8CECFEF3-67D4-42C9-8B0D-43EFF1F3A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B0686-C08F-49EA-8FC5-D2009F7A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2</TotalTime>
  <Pages>4</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Patel (ESO), Kavita</cp:lastModifiedBy>
  <cp:revision>5</cp:revision>
  <cp:lastPrinted>2020-02-06T13:28:00Z</cp:lastPrinted>
  <dcterms:created xsi:type="dcterms:W3CDTF">2021-03-09T13:53:00Z</dcterms:created>
  <dcterms:modified xsi:type="dcterms:W3CDTF">2021-03-09T13:56:00Z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ies>
</file>