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77584FF6" w:rsidR="00540D4E" w:rsidRDefault="00540D4E" w:rsidP="00540D4E">
      <w:pPr>
        <w:pStyle w:val="Checklist"/>
        <w:tabs>
          <w:tab w:val="left" w:pos="4111"/>
        </w:tabs>
      </w:pPr>
      <w:r w:rsidRPr="00540D4E">
        <w:t>CUSC Workgroup Consultation Response Proforma</w:t>
      </w:r>
    </w:p>
    <w:p w14:paraId="5820C1DC" w14:textId="77777777" w:rsidR="00EF6704" w:rsidRDefault="00EF6704" w:rsidP="0006725A">
      <w:pPr>
        <w:ind w:right="113"/>
        <w:rPr>
          <w:rFonts w:cs="Arial"/>
          <w:b/>
          <w:sz w:val="24"/>
        </w:rPr>
      </w:pPr>
    </w:p>
    <w:p w14:paraId="6BC172BD" w14:textId="0E494BCA" w:rsidR="003C60F9" w:rsidRPr="00760AB5" w:rsidRDefault="003C60F9" w:rsidP="003C60F9">
      <w:pPr>
        <w:rPr>
          <w:rFonts w:cs="Arial"/>
          <w:b/>
          <w:color w:val="F26522" w:themeColor="accent1"/>
          <w:sz w:val="28"/>
        </w:rPr>
      </w:pPr>
      <w:bookmarkStart w:id="0" w:name="_Hlk31877162"/>
      <w:r w:rsidRPr="00760AB5">
        <w:rPr>
          <w:rFonts w:cs="Arial"/>
          <w:b/>
          <w:color w:val="F26522" w:themeColor="accent1"/>
          <w:sz w:val="28"/>
        </w:rPr>
        <w:t>CMP332: Transmission Demand Residual bandings and allocation (TCR)</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094F0D33"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Pr="00CF795B">
        <w:rPr>
          <w:rFonts w:cs="Arial"/>
          <w:b/>
          <w:spacing w:val="-3"/>
          <w:sz w:val="24"/>
        </w:rPr>
        <w:t>5pm</w:t>
      </w:r>
      <w:r w:rsidRPr="00CF795B">
        <w:rPr>
          <w:rFonts w:cs="Arial"/>
          <w:spacing w:val="-3"/>
          <w:sz w:val="24"/>
        </w:rPr>
        <w:t xml:space="preserve"> on </w:t>
      </w:r>
      <w:r w:rsidR="00C204B9" w:rsidRPr="00CF795B">
        <w:rPr>
          <w:rFonts w:cs="Arial"/>
          <w:b/>
          <w:spacing w:val="-3"/>
          <w:sz w:val="24"/>
        </w:rPr>
        <w:t>27 February 2020</w:t>
      </w:r>
      <w:r w:rsidRPr="00CF795B">
        <w:rPr>
          <w:rFonts w:cs="Arial"/>
          <w:spacing w:val="-3"/>
          <w:sz w:val="24"/>
        </w:rPr>
        <w:t>.  Please note that any responses received after the deadline or sent to a different email address may not receive due consideration by the Workgroup.</w:t>
      </w:r>
    </w:p>
    <w:p w14:paraId="0E3C4DDD" w14:textId="0CA4BE2B"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Paul Mullen at </w:t>
      </w:r>
      <w:hyperlink r:id="rId11" w:history="1">
        <w:r w:rsidR="0006725A" w:rsidRPr="00CF795B">
          <w:rPr>
            <w:rStyle w:val="Hyperlink"/>
            <w:sz w:val="24"/>
          </w:rPr>
          <w:t>paul.j.mullen@nationalgrideso.com</w:t>
        </w:r>
      </w:hyperlink>
      <w:r w:rsidR="0006725A" w:rsidRPr="00CF795B">
        <w:rPr>
          <w:sz w:val="24"/>
        </w:rPr>
        <w:t xml:space="preserve"> 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01857103" w14:textId="6487868C" w:rsidR="00101C71" w:rsidRPr="00760AB5" w:rsidRDefault="00101C71" w:rsidP="00101C71">
      <w:pPr>
        <w:pStyle w:val="BodyText"/>
        <w:rPr>
          <w:b/>
          <w:color w:val="F26522" w:themeColor="accent1"/>
          <w:sz w:val="24"/>
        </w:rPr>
      </w:pPr>
      <w:r w:rsidRPr="00760AB5">
        <w:rPr>
          <w:b/>
          <w:color w:val="F26522" w:themeColor="accent1"/>
          <w:sz w:val="24"/>
        </w:rPr>
        <w:t>For reference the applicable CUSC objectives are:</w:t>
      </w:r>
    </w:p>
    <w:p w14:paraId="67025BE2" w14:textId="1073B5D6" w:rsidR="00101C71" w:rsidRPr="00760AB5" w:rsidRDefault="00101C71" w:rsidP="00760AB5">
      <w:pPr>
        <w:pStyle w:val="BodyText"/>
        <w:numPr>
          <w:ilvl w:val="0"/>
          <w:numId w:val="9"/>
        </w:numPr>
        <w:rPr>
          <w:i/>
        </w:rPr>
      </w:pPr>
      <w:r w:rsidRPr="00760AB5">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898421" w14:textId="2059A0C1" w:rsidR="00101C71" w:rsidRPr="00760AB5" w:rsidRDefault="00101C71" w:rsidP="00760AB5">
      <w:pPr>
        <w:pStyle w:val="BodyText"/>
        <w:numPr>
          <w:ilvl w:val="0"/>
          <w:numId w:val="9"/>
        </w:numPr>
        <w:rPr>
          <w:i/>
        </w:rPr>
      </w:pPr>
      <w:r w:rsidRPr="00760AB5">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CC2DB8" w14:textId="2978BFD1" w:rsidR="00101C71" w:rsidRPr="00760AB5" w:rsidRDefault="00101C71" w:rsidP="00760AB5">
      <w:pPr>
        <w:pStyle w:val="BodyText"/>
        <w:numPr>
          <w:ilvl w:val="0"/>
          <w:numId w:val="9"/>
        </w:numPr>
        <w:rPr>
          <w:i/>
        </w:rPr>
      </w:pPr>
      <w:proofErr w:type="gramStart"/>
      <w:r w:rsidRPr="00760AB5">
        <w:rPr>
          <w:i/>
        </w:rPr>
        <w:t>That,</w:t>
      </w:r>
      <w:proofErr w:type="gramEnd"/>
      <w:r w:rsidRPr="00760AB5">
        <w:rPr>
          <w:i/>
        </w:rPr>
        <w:t xml:space="preserve"> so far as is consistent with sub-paragraphs (a) and (b), the use of system charging methodology, as far as is reasonably practicable, properly takes account of the developments in transmission licensees’ transmission businesses;</w:t>
      </w:r>
    </w:p>
    <w:p w14:paraId="196F3BDC" w14:textId="5632AE39" w:rsidR="00101C71" w:rsidRPr="00760AB5" w:rsidRDefault="00101C71" w:rsidP="00760AB5">
      <w:pPr>
        <w:pStyle w:val="BodyText"/>
        <w:numPr>
          <w:ilvl w:val="0"/>
          <w:numId w:val="9"/>
        </w:numPr>
        <w:rPr>
          <w:i/>
        </w:rPr>
      </w:pPr>
      <w:r w:rsidRPr="00760AB5">
        <w:rPr>
          <w:i/>
        </w:rPr>
        <w:t xml:space="preserve">Compliance with the Electricity Regulation and any relevant legally binding decision of the European Commission and/or the Agency. These are defined within the National Grid Electricity Transmission </w:t>
      </w:r>
      <w:proofErr w:type="gramStart"/>
      <w:r w:rsidRPr="00760AB5">
        <w:rPr>
          <w:i/>
        </w:rPr>
        <w:t>plc</w:t>
      </w:r>
      <w:proofErr w:type="gramEnd"/>
      <w:r w:rsidRPr="00760AB5">
        <w:rPr>
          <w:i/>
        </w:rPr>
        <w:t xml:space="preserve"> Licence under Standard Condition C10, paragraph 1 *; and</w:t>
      </w:r>
    </w:p>
    <w:p w14:paraId="61CDC0A0" w14:textId="18637524" w:rsidR="00101C71" w:rsidRPr="00760AB5" w:rsidRDefault="00101C71" w:rsidP="00760AB5">
      <w:pPr>
        <w:pStyle w:val="BodyText"/>
        <w:numPr>
          <w:ilvl w:val="0"/>
          <w:numId w:val="9"/>
        </w:numPr>
        <w:rPr>
          <w:i/>
        </w:rPr>
      </w:pPr>
      <w:r w:rsidRPr="00760AB5">
        <w:rPr>
          <w:i/>
        </w:rPr>
        <w:t>Promoting efficiency in the implementation and administration of the CUSC arrangements.</w:t>
      </w:r>
    </w:p>
    <w:p w14:paraId="73762A95" w14:textId="2D63A1AD" w:rsidR="00677103" w:rsidRPr="00760AB5" w:rsidRDefault="00101C71" w:rsidP="00101C71">
      <w:pPr>
        <w:pStyle w:val="BodyText"/>
        <w:rPr>
          <w:i/>
        </w:rPr>
      </w:pPr>
      <w:r w:rsidRPr="00760AB5">
        <w:rPr>
          <w:i/>
        </w:rPr>
        <w:t>*Objective (d) refers specifically to European Regulation 2009/714/EC. Reference to the Agency is to the Agency for the Cooperation of Energy Regulators (ACER).</w:t>
      </w:r>
    </w:p>
    <w:p w14:paraId="0C135B19" w14:textId="77777777" w:rsidR="00760AB5" w:rsidRDefault="00760AB5">
      <w:pPr>
        <w:spacing w:after="160" w:line="259" w:lineRule="auto"/>
        <w:rPr>
          <w:rFonts w:cs="Arial"/>
          <w:b/>
          <w:sz w:val="24"/>
        </w:rPr>
      </w:pPr>
      <w:r>
        <w:rPr>
          <w:rFonts w:cs="Arial"/>
          <w:b/>
          <w:sz w:val="24"/>
        </w:rPr>
        <w:br w:type="page"/>
      </w:r>
    </w:p>
    <w:p w14:paraId="4948AD96" w14:textId="7152AF13" w:rsidR="00760AB5" w:rsidRDefault="00760AB5" w:rsidP="00760AB5">
      <w:pPr>
        <w:pStyle w:val="BodyText"/>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71690E9A"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CMP3</w:t>
            </w:r>
            <w:r w:rsidR="00056499" w:rsidRPr="00CF795B">
              <w:rPr>
                <w:sz w:val="24"/>
              </w:rPr>
              <w:t>32</w:t>
            </w:r>
            <w:r w:rsidRPr="00CF795B">
              <w:rPr>
                <w:sz w:val="24"/>
              </w:rPr>
              <w:t xml:space="preserve"> Original Proposal better facilitates the Applicable CUSC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B8CA695" w14:textId="77777777" w:rsidTr="00760AB5">
        <w:trPr>
          <w:trHeight w:val="264"/>
        </w:trPr>
        <w:tc>
          <w:tcPr>
            <w:tcW w:w="483" w:type="dxa"/>
          </w:tcPr>
          <w:p w14:paraId="7270C2E3" w14:textId="47E3CA51" w:rsidR="0006725A" w:rsidRPr="00CF795B" w:rsidRDefault="00BE2538" w:rsidP="00B34474">
            <w:pPr>
              <w:rPr>
                <w:rFonts w:cs="Arial"/>
                <w:sz w:val="24"/>
              </w:rPr>
            </w:pPr>
            <w:r>
              <w:rPr>
                <w:rFonts w:cs="Arial"/>
                <w:sz w:val="24"/>
              </w:rPr>
              <w:t>4</w:t>
            </w:r>
          </w:p>
        </w:tc>
        <w:tc>
          <w:tcPr>
            <w:tcW w:w="2691" w:type="dxa"/>
          </w:tcPr>
          <w:p w14:paraId="497C0726" w14:textId="5B36873F"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DefaultPlaceholder_-1854013440"/>
            </w:placeholder>
            <w:showingPlcHdr/>
          </w:sdtPr>
          <w:sdtEndPr/>
          <w:sdtContent>
            <w:tc>
              <w:tcPr>
                <w:tcW w:w="5786" w:type="dxa"/>
              </w:tcPr>
              <w:p w14:paraId="362B05DC" w14:textId="2AEFA47F"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0CA13CD4" w14:textId="77777777" w:rsidTr="00CB6146">
        <w:trPr>
          <w:trHeight w:val="264"/>
        </w:trPr>
        <w:tc>
          <w:tcPr>
            <w:tcW w:w="8960" w:type="dxa"/>
            <w:gridSpan w:val="3"/>
            <w:shd w:val="clear" w:color="auto" w:fill="F26522" w:themeFill="accent1"/>
          </w:tcPr>
          <w:p w14:paraId="7B55260A" w14:textId="74CAC900" w:rsidR="003B51E4" w:rsidRPr="00CB6146" w:rsidRDefault="00CB6146" w:rsidP="00386948">
            <w:pPr>
              <w:rPr>
                <w:rFonts w:cs="Arial"/>
                <w:b/>
                <w:sz w:val="24"/>
              </w:rPr>
            </w:pPr>
            <w:r w:rsidRPr="00CB6146">
              <w:rPr>
                <w:rFonts w:cs="Arial"/>
                <w:b/>
                <w:color w:val="FFFFFF" w:themeColor="background1"/>
                <w:sz w:val="24"/>
              </w:rPr>
              <w:t>Specific CMP332</w:t>
            </w:r>
            <w:r w:rsidR="00F72ED7">
              <w:rPr>
                <w:rFonts w:cs="Arial"/>
                <w:b/>
                <w:color w:val="FFFFFF" w:themeColor="background1"/>
                <w:sz w:val="24"/>
              </w:rPr>
              <w:t xml:space="preserve"> Workgroup Consultation</w:t>
            </w:r>
            <w:r w:rsidRPr="00CB6146">
              <w:rPr>
                <w:rFonts w:cs="Arial"/>
                <w:b/>
                <w:color w:val="FFFFFF" w:themeColor="background1"/>
                <w:sz w:val="24"/>
              </w:rPr>
              <w:t xml:space="preserve"> questions</w:t>
            </w:r>
          </w:p>
        </w:tc>
      </w:tr>
      <w:tr w:rsidR="00794A5E" w:rsidRPr="00CF795B" w14:paraId="5BE70CFB" w14:textId="77777777" w:rsidTr="00760AB5">
        <w:trPr>
          <w:trHeight w:val="264"/>
        </w:trPr>
        <w:tc>
          <w:tcPr>
            <w:tcW w:w="483" w:type="dxa"/>
          </w:tcPr>
          <w:p w14:paraId="6BB79DE4" w14:textId="7FB6E2B6" w:rsidR="00794A5E" w:rsidRPr="00CF795B" w:rsidRDefault="00BE2538" w:rsidP="00B34474">
            <w:pPr>
              <w:rPr>
                <w:rFonts w:cs="Arial"/>
                <w:sz w:val="24"/>
              </w:rPr>
            </w:pPr>
            <w:r>
              <w:rPr>
                <w:rFonts w:cs="Arial"/>
                <w:sz w:val="24"/>
              </w:rPr>
              <w:t>5</w:t>
            </w:r>
          </w:p>
        </w:tc>
        <w:tc>
          <w:tcPr>
            <w:tcW w:w="2691" w:type="dxa"/>
          </w:tcPr>
          <w:p w14:paraId="7E311B87" w14:textId="7D2EBFAA" w:rsidR="00794A5E" w:rsidRPr="00B75DF3" w:rsidRDefault="00D14DB8" w:rsidP="00B75DF3">
            <w:pPr>
              <w:rPr>
                <w:sz w:val="24"/>
              </w:rPr>
            </w:pPr>
            <w:r w:rsidRPr="001010DC">
              <w:rPr>
                <w:sz w:val="24"/>
              </w:rPr>
              <w:t>Based on the mapping table in Annex 6, does the proposed CMP332 solution deliver Ofgem’s TCR SCR Direction? Please identify any areas you believe need to be addressed.</w:t>
            </w:r>
          </w:p>
        </w:tc>
        <w:sdt>
          <w:sdtPr>
            <w:rPr>
              <w:rFonts w:cs="Arial"/>
              <w:sz w:val="24"/>
            </w:rPr>
            <w:id w:val="-55248386"/>
            <w:placeholder>
              <w:docPart w:val="DefaultPlaceholder_-1854013440"/>
            </w:placeholder>
            <w:showingPlcHdr/>
          </w:sdtPr>
          <w:sdtEndPr/>
          <w:sdtContent>
            <w:tc>
              <w:tcPr>
                <w:tcW w:w="5786" w:type="dxa"/>
              </w:tcPr>
              <w:p w14:paraId="3CF9F2DE" w14:textId="76BCA622"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302F01E4" w14:textId="77777777" w:rsidTr="00760AB5">
        <w:trPr>
          <w:trHeight w:val="264"/>
        </w:trPr>
        <w:tc>
          <w:tcPr>
            <w:tcW w:w="483" w:type="dxa"/>
          </w:tcPr>
          <w:p w14:paraId="49E9ED52" w14:textId="5DB52E58" w:rsidR="00794A5E" w:rsidRPr="00CF795B" w:rsidRDefault="00BE2538" w:rsidP="00B34474">
            <w:pPr>
              <w:rPr>
                <w:rFonts w:cs="Arial"/>
                <w:sz w:val="24"/>
              </w:rPr>
            </w:pPr>
            <w:r>
              <w:rPr>
                <w:rFonts w:cs="Arial"/>
                <w:sz w:val="24"/>
              </w:rPr>
              <w:t>6</w:t>
            </w:r>
          </w:p>
        </w:tc>
        <w:tc>
          <w:tcPr>
            <w:tcW w:w="2691" w:type="dxa"/>
          </w:tcPr>
          <w:p w14:paraId="2E425176" w14:textId="38446A18" w:rsidR="00794A5E" w:rsidRPr="00B75DF3" w:rsidRDefault="00606607" w:rsidP="00B75DF3">
            <w:pPr>
              <w:rPr>
                <w:sz w:val="24"/>
              </w:rPr>
            </w:pPr>
            <w:r w:rsidRPr="00606607">
              <w:rPr>
                <w:sz w:val="24"/>
              </w:rPr>
              <w:t>CMP332 solution proposes to have one Transmission Band for the demand residual charge.  Do you agree, if not what do you suggest instead, and why?</w:t>
            </w:r>
          </w:p>
        </w:tc>
        <w:sdt>
          <w:sdtPr>
            <w:rPr>
              <w:rFonts w:cs="Arial"/>
              <w:sz w:val="24"/>
            </w:rPr>
            <w:id w:val="617333534"/>
            <w:placeholder>
              <w:docPart w:val="DefaultPlaceholder_-1854013440"/>
            </w:placeholder>
            <w:showingPlcHdr/>
          </w:sdtPr>
          <w:sdtEndPr/>
          <w:sdtContent>
            <w:bookmarkStart w:id="1" w:name="_GoBack" w:displacedByCustomXml="prev"/>
            <w:tc>
              <w:tcPr>
                <w:tcW w:w="5786" w:type="dxa"/>
              </w:tcPr>
              <w:p w14:paraId="413BDA35" w14:textId="673983DA" w:rsidR="00794A5E" w:rsidRPr="00CF795B" w:rsidRDefault="00F20303" w:rsidP="00386948">
                <w:pPr>
                  <w:rPr>
                    <w:rFonts w:cs="Arial"/>
                    <w:sz w:val="24"/>
                  </w:rPr>
                </w:pPr>
                <w:r w:rsidRPr="004C39B5">
                  <w:rPr>
                    <w:rStyle w:val="PlaceholderText"/>
                    <w:rFonts w:eastAsiaTheme="minorHAnsi"/>
                  </w:rPr>
                  <w:t>Click or tap here to enter text.</w:t>
                </w:r>
              </w:p>
            </w:tc>
            <w:bookmarkEnd w:id="1" w:displacedByCustomXml="next"/>
          </w:sdtContent>
        </w:sdt>
      </w:tr>
      <w:tr w:rsidR="00794A5E" w:rsidRPr="00CF795B" w14:paraId="75BB6EE8" w14:textId="77777777" w:rsidTr="00760AB5">
        <w:trPr>
          <w:trHeight w:val="264"/>
        </w:trPr>
        <w:tc>
          <w:tcPr>
            <w:tcW w:w="483" w:type="dxa"/>
          </w:tcPr>
          <w:p w14:paraId="16684B1E" w14:textId="4C32DCB0" w:rsidR="00794A5E" w:rsidRPr="00CF795B" w:rsidRDefault="002E610D" w:rsidP="00B34474">
            <w:pPr>
              <w:rPr>
                <w:rFonts w:cs="Arial"/>
                <w:sz w:val="24"/>
              </w:rPr>
            </w:pPr>
            <w:r>
              <w:rPr>
                <w:rFonts w:cs="Arial"/>
                <w:sz w:val="24"/>
              </w:rPr>
              <w:t>7</w:t>
            </w:r>
          </w:p>
        </w:tc>
        <w:tc>
          <w:tcPr>
            <w:tcW w:w="2691" w:type="dxa"/>
          </w:tcPr>
          <w:p w14:paraId="3A1675B9" w14:textId="7D72FA2D" w:rsidR="00794A5E" w:rsidRPr="00B75DF3" w:rsidRDefault="00F51984" w:rsidP="00B75DF3">
            <w:pPr>
              <w:rPr>
                <w:sz w:val="24"/>
              </w:rPr>
            </w:pPr>
            <w:r>
              <w:rPr>
                <w:rFonts w:cs="Arial"/>
                <w:sz w:val="24"/>
              </w:rPr>
              <w:t>T</w:t>
            </w:r>
            <w:r w:rsidRPr="001010DC">
              <w:rPr>
                <w:rFonts w:cs="Arial"/>
                <w:sz w:val="24"/>
              </w:rPr>
              <w:t xml:space="preserve">he TCR SCR Direction specifies that 24 months of data is required to allocate the customers to charging bands. The Original solution (for CMP332) </w:t>
            </w:r>
            <w:r w:rsidRPr="001010DC">
              <w:rPr>
                <w:rFonts w:cs="Arial"/>
                <w:sz w:val="24"/>
              </w:rPr>
              <w:lastRenderedPageBreak/>
              <w:t>proposes to use a standard 12 months period for all.  What period of historical data do you think is required for setting the bands, and why?</w:t>
            </w:r>
          </w:p>
        </w:tc>
        <w:sdt>
          <w:sdtPr>
            <w:rPr>
              <w:rFonts w:cs="Arial"/>
              <w:sz w:val="24"/>
            </w:rPr>
            <w:id w:val="-1535264714"/>
            <w:placeholder>
              <w:docPart w:val="DefaultPlaceholder_-1854013440"/>
            </w:placeholder>
            <w:showingPlcHdr/>
          </w:sdtPr>
          <w:sdtEndPr/>
          <w:sdtContent>
            <w:tc>
              <w:tcPr>
                <w:tcW w:w="5786" w:type="dxa"/>
              </w:tcPr>
              <w:p w14:paraId="0AAEFA0D" w14:textId="2983EAB3"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3A427783" w14:textId="77777777" w:rsidTr="00760AB5">
        <w:trPr>
          <w:trHeight w:val="264"/>
        </w:trPr>
        <w:tc>
          <w:tcPr>
            <w:tcW w:w="483" w:type="dxa"/>
          </w:tcPr>
          <w:p w14:paraId="329A9E3D" w14:textId="16D98C6C" w:rsidR="00794A5E" w:rsidRPr="00CF795B" w:rsidRDefault="001F7E62" w:rsidP="00B34474">
            <w:pPr>
              <w:rPr>
                <w:rFonts w:cs="Arial"/>
                <w:sz w:val="24"/>
              </w:rPr>
            </w:pPr>
            <w:r>
              <w:rPr>
                <w:rFonts w:cs="Arial"/>
                <w:sz w:val="24"/>
              </w:rPr>
              <w:t>8</w:t>
            </w:r>
          </w:p>
        </w:tc>
        <w:tc>
          <w:tcPr>
            <w:tcW w:w="2691" w:type="dxa"/>
          </w:tcPr>
          <w:p w14:paraId="70B5499F" w14:textId="389822A0" w:rsidR="00794A5E" w:rsidRPr="00B75DF3" w:rsidRDefault="00790E02" w:rsidP="00B75DF3">
            <w:pPr>
              <w:rPr>
                <w:sz w:val="24"/>
              </w:rPr>
            </w:pPr>
            <w:r w:rsidRPr="001010DC">
              <w:rPr>
                <w:sz w:val="24"/>
              </w:rPr>
              <w:t>If there is any revenue under/over recovery due to the differences between the initial allocation of charging bands vs the outturn of such bands, how should this amount be recovered/rebated?</w:t>
            </w:r>
          </w:p>
        </w:tc>
        <w:sdt>
          <w:sdtPr>
            <w:rPr>
              <w:rFonts w:cs="Arial"/>
              <w:sz w:val="24"/>
            </w:rPr>
            <w:id w:val="696738870"/>
            <w:placeholder>
              <w:docPart w:val="DefaultPlaceholder_-1854013440"/>
            </w:placeholder>
            <w:showingPlcHdr/>
          </w:sdtPr>
          <w:sdtEndPr/>
          <w:sdtContent>
            <w:tc>
              <w:tcPr>
                <w:tcW w:w="5786" w:type="dxa"/>
              </w:tcPr>
              <w:p w14:paraId="75D65331" w14:textId="646A9415"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56CF94D1" w14:textId="77777777" w:rsidTr="00760AB5">
        <w:trPr>
          <w:trHeight w:val="264"/>
        </w:trPr>
        <w:tc>
          <w:tcPr>
            <w:tcW w:w="483" w:type="dxa"/>
          </w:tcPr>
          <w:p w14:paraId="22EFA80B" w14:textId="4EBA5E72" w:rsidR="00794A5E" w:rsidRPr="00CF795B" w:rsidRDefault="001F7E62" w:rsidP="00B34474">
            <w:pPr>
              <w:rPr>
                <w:rFonts w:cs="Arial"/>
                <w:sz w:val="24"/>
              </w:rPr>
            </w:pPr>
            <w:r>
              <w:rPr>
                <w:rFonts w:cs="Arial"/>
                <w:sz w:val="24"/>
              </w:rPr>
              <w:t>9</w:t>
            </w:r>
          </w:p>
        </w:tc>
        <w:tc>
          <w:tcPr>
            <w:tcW w:w="2691" w:type="dxa"/>
          </w:tcPr>
          <w:p w14:paraId="5F0E8476" w14:textId="4B246217" w:rsidR="00794A5E" w:rsidRPr="00B75DF3" w:rsidRDefault="00CC6E43" w:rsidP="00B75DF3">
            <w:pPr>
              <w:rPr>
                <w:sz w:val="24"/>
              </w:rPr>
            </w:pPr>
            <w:r w:rsidRPr="00D4093F">
              <w:rPr>
                <w:sz w:val="24"/>
              </w:rPr>
              <w:t xml:space="preserve">Should we use Measurement Classes rather than “No MIC” or “MIC” to determine initial grouping for the charging bands at low voltage, and why?  </w:t>
            </w:r>
          </w:p>
        </w:tc>
        <w:sdt>
          <w:sdtPr>
            <w:rPr>
              <w:rFonts w:cs="Arial"/>
              <w:sz w:val="24"/>
            </w:rPr>
            <w:id w:val="1074164534"/>
            <w:placeholder>
              <w:docPart w:val="DefaultPlaceholder_-1854013440"/>
            </w:placeholder>
            <w:showingPlcHdr/>
          </w:sdtPr>
          <w:sdtEndPr/>
          <w:sdtContent>
            <w:tc>
              <w:tcPr>
                <w:tcW w:w="5786" w:type="dxa"/>
              </w:tcPr>
              <w:p w14:paraId="4AFC943C" w14:textId="1664667A"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4CC4F650" w14:textId="77777777" w:rsidTr="00760AB5">
        <w:trPr>
          <w:trHeight w:val="264"/>
        </w:trPr>
        <w:tc>
          <w:tcPr>
            <w:tcW w:w="483" w:type="dxa"/>
          </w:tcPr>
          <w:p w14:paraId="3491B646" w14:textId="722F9901" w:rsidR="00794A5E" w:rsidRDefault="00794A5E" w:rsidP="00B34474">
            <w:pPr>
              <w:rPr>
                <w:rFonts w:cs="Arial"/>
                <w:sz w:val="24"/>
              </w:rPr>
            </w:pPr>
            <w:r>
              <w:rPr>
                <w:rFonts w:cs="Arial"/>
                <w:sz w:val="24"/>
              </w:rPr>
              <w:t>1</w:t>
            </w:r>
            <w:r w:rsidR="001F7E62">
              <w:rPr>
                <w:rFonts w:cs="Arial"/>
                <w:sz w:val="24"/>
              </w:rPr>
              <w:t>0</w:t>
            </w:r>
          </w:p>
        </w:tc>
        <w:tc>
          <w:tcPr>
            <w:tcW w:w="2691" w:type="dxa"/>
          </w:tcPr>
          <w:p w14:paraId="550A6D8D" w14:textId="22352F94" w:rsidR="00794A5E" w:rsidRPr="00CF795B" w:rsidRDefault="00EB1523" w:rsidP="00B75DF3">
            <w:pPr>
              <w:rPr>
                <w:rFonts w:cs="Arial"/>
                <w:sz w:val="24"/>
              </w:rPr>
            </w:pPr>
            <w:r w:rsidRPr="00D4093F">
              <w:rPr>
                <w:sz w:val="24"/>
              </w:rPr>
              <w:t>Should UMS be included in the banding structure (e.g. LV no MIC) or charged separately on a volumetric basis?</w:t>
            </w:r>
          </w:p>
        </w:tc>
        <w:sdt>
          <w:sdtPr>
            <w:rPr>
              <w:rFonts w:cs="Arial"/>
              <w:sz w:val="24"/>
            </w:rPr>
            <w:id w:val="1409036851"/>
            <w:placeholder>
              <w:docPart w:val="DefaultPlaceholder_-1854013440"/>
            </w:placeholder>
            <w:showingPlcHdr/>
          </w:sdtPr>
          <w:sdtEndPr/>
          <w:sdtContent>
            <w:tc>
              <w:tcPr>
                <w:tcW w:w="5786" w:type="dxa"/>
              </w:tcPr>
              <w:p w14:paraId="0C199710" w14:textId="0DAD6739"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CC6E43" w:rsidRPr="00CF795B" w14:paraId="6308841F" w14:textId="77777777" w:rsidTr="00760AB5">
        <w:trPr>
          <w:trHeight w:val="264"/>
        </w:trPr>
        <w:tc>
          <w:tcPr>
            <w:tcW w:w="483" w:type="dxa"/>
          </w:tcPr>
          <w:p w14:paraId="7C3AECD5" w14:textId="52E1D271" w:rsidR="00CC6E43" w:rsidRDefault="00F711FA" w:rsidP="00B34474">
            <w:pPr>
              <w:rPr>
                <w:rFonts w:cs="Arial"/>
                <w:sz w:val="24"/>
              </w:rPr>
            </w:pPr>
            <w:r>
              <w:rPr>
                <w:rFonts w:cs="Arial"/>
                <w:sz w:val="24"/>
              </w:rPr>
              <w:t>1</w:t>
            </w:r>
            <w:r w:rsidR="001F7E62">
              <w:rPr>
                <w:rFonts w:cs="Arial"/>
                <w:sz w:val="24"/>
              </w:rPr>
              <w:t>1</w:t>
            </w:r>
          </w:p>
        </w:tc>
        <w:tc>
          <w:tcPr>
            <w:tcW w:w="2691" w:type="dxa"/>
          </w:tcPr>
          <w:p w14:paraId="7B9CAB79" w14:textId="43DDEBAA" w:rsidR="00CC6E43" w:rsidRPr="00CF795B" w:rsidRDefault="00B657DD" w:rsidP="00B75DF3">
            <w:pPr>
              <w:spacing w:after="120"/>
              <w:rPr>
                <w:rFonts w:cs="Arial"/>
                <w:sz w:val="24"/>
              </w:rPr>
            </w:pPr>
            <w:r w:rsidRPr="00D4093F">
              <w:rPr>
                <w:rFonts w:cs="Arial"/>
                <w:sz w:val="24"/>
              </w:rPr>
              <w:t>Do you have any thoughts on any of the suggested options and/or do you believe there any other options for the Workgroup to consider</w:t>
            </w:r>
            <w:r w:rsidR="00B75DF3">
              <w:rPr>
                <w:rFonts w:cs="Arial"/>
                <w:sz w:val="24"/>
              </w:rPr>
              <w:t>?</w:t>
            </w:r>
          </w:p>
        </w:tc>
        <w:sdt>
          <w:sdtPr>
            <w:rPr>
              <w:rFonts w:cs="Arial"/>
              <w:sz w:val="24"/>
            </w:rPr>
            <w:id w:val="-1890651629"/>
            <w:placeholder>
              <w:docPart w:val="DefaultPlaceholder_-1854013440"/>
            </w:placeholder>
            <w:showingPlcHdr/>
          </w:sdtPr>
          <w:sdtEndPr/>
          <w:sdtContent>
            <w:tc>
              <w:tcPr>
                <w:tcW w:w="5786" w:type="dxa"/>
              </w:tcPr>
              <w:p w14:paraId="446B4A27" w14:textId="1791580F" w:rsidR="00CC6E43"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p w14:paraId="0FEB3064"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81C67" w14:textId="77777777" w:rsidR="00DF10F2" w:rsidRDefault="00DF10F2" w:rsidP="0006725A">
      <w:pPr>
        <w:spacing w:line="240" w:lineRule="auto"/>
      </w:pPr>
      <w:r>
        <w:separator/>
      </w:r>
    </w:p>
  </w:endnote>
  <w:endnote w:type="continuationSeparator" w:id="0">
    <w:p w14:paraId="1C4BBB5D" w14:textId="77777777" w:rsidR="00DF10F2" w:rsidRDefault="00DF10F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606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4E440" w14:textId="77777777" w:rsidR="00DF10F2" w:rsidRDefault="00DF10F2" w:rsidP="0006725A">
      <w:pPr>
        <w:spacing w:line="240" w:lineRule="auto"/>
      </w:pPr>
      <w:r>
        <w:separator/>
      </w:r>
    </w:p>
  </w:footnote>
  <w:footnote w:type="continuationSeparator" w:id="0">
    <w:p w14:paraId="4A6989D9" w14:textId="77777777" w:rsidR="00DF10F2" w:rsidRDefault="00DF10F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A17E" w14:textId="77777777"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Workgroup Consultation CMP332</w:t>
    </w:r>
    <w:r w:rsidR="00DF10F2">
      <w:tab/>
      <w:t>Published on 06/02/2020 - respond by 5pm on 27/02/2020</w:t>
    </w:r>
  </w:p>
  <w:p w14:paraId="19D5341F" w14:textId="77777777" w:rsidR="004B76AD" w:rsidRDefault="00606607"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56499"/>
    <w:rsid w:val="0006725A"/>
    <w:rsid w:val="000D146E"/>
    <w:rsid w:val="000E273C"/>
    <w:rsid w:val="00101C71"/>
    <w:rsid w:val="00120E3B"/>
    <w:rsid w:val="00132DB3"/>
    <w:rsid w:val="001F7E62"/>
    <w:rsid w:val="00217075"/>
    <w:rsid w:val="002D2F08"/>
    <w:rsid w:val="002D7074"/>
    <w:rsid w:val="002E610D"/>
    <w:rsid w:val="00330039"/>
    <w:rsid w:val="00386948"/>
    <w:rsid w:val="003B51E4"/>
    <w:rsid w:val="003C60F9"/>
    <w:rsid w:val="003C6C26"/>
    <w:rsid w:val="00441BF4"/>
    <w:rsid w:val="00540D4E"/>
    <w:rsid w:val="00606607"/>
    <w:rsid w:val="006103A5"/>
    <w:rsid w:val="006329D3"/>
    <w:rsid w:val="00677103"/>
    <w:rsid w:val="006D6ECC"/>
    <w:rsid w:val="00713E51"/>
    <w:rsid w:val="00760AB5"/>
    <w:rsid w:val="00790E02"/>
    <w:rsid w:val="00794A5E"/>
    <w:rsid w:val="007D0BAB"/>
    <w:rsid w:val="00811809"/>
    <w:rsid w:val="00836CFF"/>
    <w:rsid w:val="00867B72"/>
    <w:rsid w:val="00A10CD1"/>
    <w:rsid w:val="00AC4CF2"/>
    <w:rsid w:val="00B657DD"/>
    <w:rsid w:val="00B75DF3"/>
    <w:rsid w:val="00B97BDE"/>
    <w:rsid w:val="00BD020A"/>
    <w:rsid w:val="00BE2538"/>
    <w:rsid w:val="00C204B9"/>
    <w:rsid w:val="00CB6146"/>
    <w:rsid w:val="00CC6E43"/>
    <w:rsid w:val="00CF795B"/>
    <w:rsid w:val="00D14DB8"/>
    <w:rsid w:val="00D179EE"/>
    <w:rsid w:val="00DF10F2"/>
    <w:rsid w:val="00E41F07"/>
    <w:rsid w:val="00EB1523"/>
    <w:rsid w:val="00EF6704"/>
    <w:rsid w:val="00F20303"/>
    <w:rsid w:val="00F51984"/>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5F0F57"/>
    <w:rsid w:val="00C23C8D"/>
    <w:rsid w:val="00CA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74CE7FB4461547ABBD26C8F40636DC" ma:contentTypeVersion="13" ma:contentTypeDescription="Create a new document." ma:contentTypeScope="" ma:versionID="7f572d45f68c3e3b99ace6954685f6a6">
  <xsd:schema xmlns:xsd="http://www.w3.org/2001/XMLSchema" xmlns:xs="http://www.w3.org/2001/XMLSchema" xmlns:p="http://schemas.microsoft.com/office/2006/metadata/properties" xmlns:ns3="00bf09af-a290-4f87-9ba4-60e83074aeb2" xmlns:ns4="60c5b189-27e4-43da-a3da-95a59f3670c7" targetNamespace="http://schemas.microsoft.com/office/2006/metadata/properties" ma:root="true" ma:fieldsID="f7fd9abfc641b8911375e410cd893f51" ns3:_="" ns4:_="">
    <xsd:import namespace="00bf09af-a290-4f87-9ba4-60e83074aeb2"/>
    <xsd:import namespace="60c5b189-27e4-43da-a3da-95a59f367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f09af-a290-4f87-9ba4-60e83074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5b189-27e4-43da-a3da-95a59f3670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00bf09af-a290-4f87-9ba4-60e83074aeb2"/>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purl.org/dc/terms/"/>
    <ds:schemaRef ds:uri="60c5b189-27e4-43da-a3da-95a59f3670c7"/>
    <ds:schemaRef ds:uri="http://www.w3.org/XML/1998/namespace"/>
  </ds:schemaRefs>
</ds:datastoreItem>
</file>

<file path=customXml/itemProps2.xml><?xml version="1.0" encoding="utf-8"?>
<ds:datastoreItem xmlns:ds="http://schemas.openxmlformats.org/officeDocument/2006/customXml" ds:itemID="{921B671D-AF47-4EFE-AA99-70FD5DD38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f09af-a290-4f87-9ba4-60e83074aeb2"/>
    <ds:schemaRef ds:uri="60c5b189-27e4-43da-a3da-95a59f367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Groome (ESO), Jennifer</cp:lastModifiedBy>
  <cp:revision>50</cp:revision>
  <dcterms:created xsi:type="dcterms:W3CDTF">2020-02-06T10:17:00Z</dcterms:created>
  <dcterms:modified xsi:type="dcterms:W3CDTF">2020-02-06T11:50:00Z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0x0101005274CE7FB4461547ABBD26C8F40636DC</vt:lpwstr>
  </property>
</Properties>
</file>