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BC238" w14:textId="77777777" w:rsidR="00DA3CB6" w:rsidRPr="00C121BA" w:rsidRDefault="00DA3CB6" w:rsidP="004A7C1F">
      <w:pPr>
        <w:tabs>
          <w:tab w:val="left" w:pos="720"/>
          <w:tab w:val="left" w:pos="1440"/>
          <w:tab w:val="left" w:pos="2070"/>
          <w:tab w:val="left" w:pos="2160"/>
        </w:tabs>
        <w:jc w:val="center"/>
        <w:rPr>
          <w:rFonts w:cs="Arial"/>
          <w:b/>
          <w:sz w:val="20"/>
          <w:szCs w:val="20"/>
          <w:lang w:val="en-GB"/>
        </w:rPr>
      </w:pPr>
      <w:r w:rsidRPr="00C121BA">
        <w:rPr>
          <w:rFonts w:cs="Arial"/>
          <w:b/>
          <w:sz w:val="20"/>
          <w:szCs w:val="20"/>
          <w:lang w:val="en-GB"/>
        </w:rPr>
        <w:t>Monthly Monitoring Meeting</w:t>
      </w:r>
    </w:p>
    <w:p w14:paraId="2AB688E8" w14:textId="77777777" w:rsidR="00DA3CB6" w:rsidRPr="00C121BA" w:rsidRDefault="00DA3CB6" w:rsidP="24173B80">
      <w:pPr>
        <w:tabs>
          <w:tab w:val="left" w:pos="720"/>
          <w:tab w:val="left" w:pos="1440"/>
          <w:tab w:val="left" w:pos="2070"/>
          <w:tab w:val="left" w:pos="2160"/>
        </w:tabs>
        <w:jc w:val="center"/>
        <w:rPr>
          <w:rFonts w:cs="Arial"/>
          <w:b/>
          <w:sz w:val="20"/>
          <w:szCs w:val="20"/>
          <w:lang w:val="en-GB"/>
        </w:rPr>
      </w:pPr>
    </w:p>
    <w:p w14:paraId="37AEE65A" w14:textId="77777777" w:rsidR="00DA3CB6" w:rsidRPr="00C121BA" w:rsidRDefault="00830CD1" w:rsidP="14E3DF24">
      <w:pPr>
        <w:tabs>
          <w:tab w:val="left" w:pos="720"/>
          <w:tab w:val="left" w:pos="1440"/>
          <w:tab w:val="left" w:pos="2070"/>
          <w:tab w:val="left" w:pos="2160"/>
        </w:tabs>
        <w:jc w:val="center"/>
        <w:rPr>
          <w:rFonts w:cs="Arial"/>
          <w:b/>
          <w:bCs/>
          <w:sz w:val="20"/>
          <w:szCs w:val="20"/>
          <w:lang w:val="en-GB"/>
        </w:rPr>
      </w:pPr>
      <w:r>
        <w:rPr>
          <w:rFonts w:cs="Arial"/>
          <w:b/>
          <w:bCs/>
          <w:sz w:val="20"/>
          <w:szCs w:val="20"/>
          <w:lang w:val="en-GB"/>
        </w:rPr>
        <w:t>Wedne</w:t>
      </w:r>
      <w:r w:rsidR="00DA69F0">
        <w:rPr>
          <w:rFonts w:cs="Arial"/>
          <w:b/>
          <w:bCs/>
          <w:sz w:val="20"/>
          <w:szCs w:val="20"/>
          <w:lang w:val="en-GB"/>
        </w:rPr>
        <w:t>sday 6</w:t>
      </w:r>
      <w:r w:rsidR="00DA69F0" w:rsidRPr="002650EB">
        <w:rPr>
          <w:rFonts w:cs="Arial"/>
          <w:b/>
          <w:bCs/>
          <w:sz w:val="20"/>
          <w:szCs w:val="20"/>
          <w:vertAlign w:val="superscript"/>
          <w:lang w:val="en-GB"/>
        </w:rPr>
        <w:t>th</w:t>
      </w:r>
      <w:r w:rsidR="00DA69F0">
        <w:rPr>
          <w:rFonts w:cs="Arial"/>
          <w:b/>
          <w:bCs/>
          <w:sz w:val="20"/>
          <w:szCs w:val="20"/>
          <w:lang w:val="en-GB"/>
        </w:rPr>
        <w:t xml:space="preserve"> Nov </w:t>
      </w:r>
      <w:r w:rsidR="00C717D6">
        <w:rPr>
          <w:rFonts w:cs="Arial"/>
          <w:b/>
          <w:bCs/>
          <w:sz w:val="20"/>
          <w:szCs w:val="20"/>
          <w:lang w:val="en-GB"/>
        </w:rPr>
        <w:t>14:00 – 16:00</w:t>
      </w:r>
    </w:p>
    <w:p w14:paraId="4BC7DBC4" w14:textId="77777777" w:rsidR="00DA3CB6" w:rsidRPr="00C121BA" w:rsidRDefault="00DA3CB6" w:rsidP="24173B80">
      <w:pPr>
        <w:tabs>
          <w:tab w:val="left" w:pos="720"/>
          <w:tab w:val="left" w:pos="1440"/>
          <w:tab w:val="left" w:pos="2070"/>
          <w:tab w:val="left" w:pos="2160"/>
        </w:tabs>
        <w:jc w:val="center"/>
        <w:rPr>
          <w:rFonts w:cs="Arial"/>
          <w:b/>
          <w:sz w:val="20"/>
          <w:szCs w:val="20"/>
          <w:highlight w:val="yellow"/>
          <w:lang w:val="en-GB"/>
        </w:rPr>
      </w:pPr>
    </w:p>
    <w:p w14:paraId="4D46DC92" w14:textId="77777777" w:rsidR="00DA3CB6" w:rsidRPr="00C121BA" w:rsidRDefault="005013FC" w:rsidP="24173B80">
      <w:pPr>
        <w:tabs>
          <w:tab w:val="left" w:pos="720"/>
          <w:tab w:val="left" w:pos="1440"/>
          <w:tab w:val="left" w:pos="2070"/>
          <w:tab w:val="left" w:pos="2160"/>
        </w:tabs>
        <w:jc w:val="center"/>
        <w:rPr>
          <w:rFonts w:cs="Arial"/>
          <w:b/>
          <w:sz w:val="20"/>
          <w:szCs w:val="20"/>
          <w:lang w:val="en-GB"/>
        </w:rPr>
      </w:pPr>
      <w:r>
        <w:rPr>
          <w:rFonts w:cs="Arial"/>
          <w:b/>
          <w:sz w:val="20"/>
          <w:szCs w:val="20"/>
          <w:lang w:val="en-GB"/>
        </w:rPr>
        <w:t xml:space="preserve">Ofgem Office South </w:t>
      </w:r>
      <w:r w:rsidR="005C5624">
        <w:rPr>
          <w:rFonts w:cs="Arial"/>
          <w:b/>
          <w:sz w:val="20"/>
          <w:szCs w:val="20"/>
          <w:lang w:val="en-GB"/>
        </w:rPr>
        <w:t>Colonnade</w:t>
      </w:r>
      <w:r>
        <w:rPr>
          <w:rFonts w:cs="Arial"/>
          <w:b/>
          <w:sz w:val="20"/>
          <w:szCs w:val="20"/>
          <w:lang w:val="en-GB"/>
        </w:rPr>
        <w:t xml:space="preserve"> and </w:t>
      </w:r>
      <w:r w:rsidR="002C0015">
        <w:rPr>
          <w:rFonts w:cs="Arial"/>
          <w:b/>
          <w:sz w:val="20"/>
          <w:szCs w:val="20"/>
          <w:lang w:val="en-GB"/>
        </w:rPr>
        <w:t>Teleconference</w:t>
      </w:r>
    </w:p>
    <w:p w14:paraId="3288BC3C" w14:textId="77777777" w:rsidR="00DA3CB6" w:rsidRPr="00C121BA" w:rsidRDefault="00DA3CB6" w:rsidP="24173B80">
      <w:pPr>
        <w:rPr>
          <w:rFonts w:cs="Arial"/>
          <w:sz w:val="20"/>
          <w:szCs w:val="20"/>
          <w:lang w:val="en-GB"/>
        </w:rPr>
      </w:pPr>
    </w:p>
    <w:p w14:paraId="42AA128D" w14:textId="77777777" w:rsidR="00DA3CB6" w:rsidRPr="00C121BA" w:rsidRDefault="00DA3CB6" w:rsidP="24173B80">
      <w:pPr>
        <w:jc w:val="center"/>
        <w:rPr>
          <w:rFonts w:cs="Arial"/>
          <w:b/>
          <w:sz w:val="20"/>
          <w:szCs w:val="20"/>
          <w:lang w:val="en-GB"/>
        </w:rPr>
      </w:pPr>
      <w:bookmarkStart w:id="0" w:name="_Hlk20229072"/>
      <w:r w:rsidRPr="00C121BA">
        <w:rPr>
          <w:rFonts w:cs="Arial"/>
          <w:b/>
          <w:sz w:val="20"/>
          <w:szCs w:val="20"/>
          <w:lang w:val="en-GB"/>
        </w:rPr>
        <w:t>AGENDA</w:t>
      </w:r>
    </w:p>
    <w:tbl>
      <w:tblPr>
        <w:tblpPr w:leftFromText="180" w:rightFromText="180" w:bottomFromText="2" w:vertAnchor="text"/>
        <w:tblW w:w="4991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855"/>
        <w:gridCol w:w="5972"/>
        <w:gridCol w:w="1487"/>
      </w:tblGrid>
      <w:tr w:rsidR="006F0FF6" w:rsidRPr="006F0FF6" w14:paraId="27C1103E" w14:textId="77777777" w:rsidTr="00E67C45">
        <w:trPr>
          <w:trHeight w:val="405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69360" w14:textId="77777777" w:rsidR="006F0FF6" w:rsidRPr="006F0FF6" w:rsidRDefault="006F0FF6" w:rsidP="00414B3F">
            <w:pPr>
              <w:spacing w:line="253" w:lineRule="atLeast"/>
              <w:jc w:val="center"/>
              <w:rPr>
                <w:color w:val="000000"/>
                <w:sz w:val="18"/>
              </w:rPr>
            </w:pPr>
            <w:r w:rsidRPr="006F0FF6">
              <w:rPr>
                <w:b/>
                <w:bCs/>
                <w:color w:val="000000"/>
                <w:sz w:val="18"/>
                <w:szCs w:val="20"/>
              </w:rPr>
              <w:t>Ref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08FC8" w14:textId="77777777" w:rsidR="006F0FF6" w:rsidRPr="006F0FF6" w:rsidRDefault="006F0FF6" w:rsidP="00414B3F">
            <w:pPr>
              <w:spacing w:line="253" w:lineRule="atLeast"/>
              <w:jc w:val="center"/>
              <w:rPr>
                <w:color w:val="000000"/>
                <w:sz w:val="18"/>
              </w:rPr>
            </w:pPr>
            <w:r w:rsidRPr="006F0FF6">
              <w:rPr>
                <w:b/>
                <w:bCs/>
                <w:color w:val="000000"/>
                <w:sz w:val="18"/>
                <w:szCs w:val="20"/>
              </w:rPr>
              <w:t>Time</w:t>
            </w:r>
          </w:p>
        </w:tc>
        <w:tc>
          <w:tcPr>
            <w:tcW w:w="5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8D78E" w14:textId="77777777" w:rsidR="006F0FF6" w:rsidRPr="006F0FF6" w:rsidRDefault="006F0FF6" w:rsidP="00414B3F">
            <w:pPr>
              <w:spacing w:line="253" w:lineRule="atLeast"/>
              <w:jc w:val="center"/>
              <w:rPr>
                <w:color w:val="000000"/>
                <w:sz w:val="18"/>
              </w:rPr>
            </w:pPr>
            <w:r w:rsidRPr="006F0FF6">
              <w:rPr>
                <w:b/>
                <w:bCs/>
                <w:color w:val="000000"/>
                <w:sz w:val="18"/>
                <w:szCs w:val="20"/>
              </w:rPr>
              <w:t>Title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22BA5" w14:textId="77777777" w:rsidR="006F0FF6" w:rsidRPr="006F0FF6" w:rsidRDefault="006F0FF6" w:rsidP="00414B3F">
            <w:pPr>
              <w:spacing w:line="253" w:lineRule="atLeast"/>
              <w:jc w:val="center"/>
              <w:rPr>
                <w:color w:val="000000"/>
                <w:sz w:val="18"/>
              </w:rPr>
            </w:pPr>
            <w:r w:rsidRPr="006F0FF6">
              <w:rPr>
                <w:b/>
                <w:bCs/>
                <w:color w:val="000000"/>
                <w:sz w:val="18"/>
                <w:szCs w:val="20"/>
              </w:rPr>
              <w:t>Owner</w:t>
            </w:r>
          </w:p>
        </w:tc>
      </w:tr>
      <w:tr w:rsidR="00574F2D" w:rsidRPr="006F0FF6" w14:paraId="784C5C4A" w14:textId="77777777" w:rsidTr="00E67C45">
        <w:trPr>
          <w:trHeight w:val="724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8CFF3" w14:textId="77777777" w:rsidR="00574F2D" w:rsidRPr="002355A5" w:rsidRDefault="00574F2D" w:rsidP="00574F2D">
            <w:pPr>
              <w:spacing w:line="253" w:lineRule="atLeast"/>
              <w:jc w:val="center"/>
              <w:rPr>
                <w:color w:val="000000"/>
                <w:sz w:val="18"/>
                <w:szCs w:val="20"/>
              </w:rPr>
            </w:pPr>
            <w:r w:rsidRPr="002355A5">
              <w:rPr>
                <w:color w:val="000000"/>
                <w:sz w:val="18"/>
                <w:szCs w:val="20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E644F" w14:textId="77777777" w:rsidR="00574F2D" w:rsidRDefault="00574F2D" w:rsidP="00574F2D">
            <w:pPr>
              <w:spacing w:line="253" w:lineRule="atLeast"/>
              <w:jc w:val="center"/>
              <w:rPr>
                <w:i/>
                <w:iCs/>
                <w:color w:val="000000"/>
                <w:sz w:val="18"/>
                <w:szCs w:val="20"/>
              </w:rPr>
            </w:pPr>
            <w:r>
              <w:rPr>
                <w:i/>
                <w:iCs/>
                <w:color w:val="000000"/>
                <w:sz w:val="18"/>
                <w:szCs w:val="20"/>
              </w:rPr>
              <w:t>10</w:t>
            </w:r>
            <w:r w:rsidRPr="006F0FF6">
              <w:rPr>
                <w:i/>
                <w:iCs/>
                <w:color w:val="000000"/>
                <w:sz w:val="18"/>
                <w:szCs w:val="20"/>
              </w:rPr>
              <w:t xml:space="preserve"> min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0C08" w14:textId="77777777" w:rsidR="00574F2D" w:rsidRPr="14E3DF24" w:rsidRDefault="00574F2D" w:rsidP="00516B5F">
            <w:pPr>
              <w:spacing w:line="253" w:lineRule="atLeast"/>
              <w:ind w:left="36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GB"/>
              </w:rPr>
              <w:t>SME slot - September balancing costs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966DF" w14:textId="77777777" w:rsidR="00574F2D" w:rsidRPr="006F0FF6" w:rsidRDefault="00574F2D" w:rsidP="00574F2D">
            <w:pPr>
              <w:spacing w:line="253" w:lineRule="atLeast"/>
              <w:jc w:val="center"/>
              <w:rPr>
                <w:i/>
                <w:iCs/>
                <w:color w:val="000000"/>
                <w:sz w:val="18"/>
                <w:szCs w:val="20"/>
              </w:rPr>
            </w:pPr>
            <w:r w:rsidRPr="006F0FF6">
              <w:rPr>
                <w:i/>
                <w:iCs/>
                <w:color w:val="000000"/>
                <w:sz w:val="18"/>
                <w:szCs w:val="20"/>
              </w:rPr>
              <w:t>ESO</w:t>
            </w:r>
          </w:p>
        </w:tc>
      </w:tr>
      <w:tr w:rsidR="00574F2D" w:rsidRPr="006F0FF6" w14:paraId="22A086A6" w14:textId="77777777" w:rsidTr="00E67C45">
        <w:trPr>
          <w:trHeight w:val="724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D7693" w14:textId="77777777" w:rsidR="00574F2D" w:rsidRPr="00836DF7" w:rsidRDefault="00574F2D" w:rsidP="00574F2D">
            <w:pPr>
              <w:spacing w:line="253" w:lineRule="atLeast"/>
              <w:jc w:val="center"/>
              <w:rPr>
                <w:color w:val="000000"/>
                <w:sz w:val="18"/>
                <w:szCs w:val="20"/>
              </w:rPr>
            </w:pPr>
            <w:r w:rsidRPr="00546DD9">
              <w:rPr>
                <w:color w:val="000000"/>
                <w:sz w:val="18"/>
                <w:szCs w:val="2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AAA42" w14:textId="77777777" w:rsidR="00574F2D" w:rsidRDefault="00331AE9" w:rsidP="00574F2D">
            <w:pPr>
              <w:spacing w:line="253" w:lineRule="atLeast"/>
              <w:jc w:val="center"/>
              <w:rPr>
                <w:i/>
                <w:iCs/>
                <w:color w:val="000000"/>
                <w:sz w:val="18"/>
                <w:szCs w:val="20"/>
              </w:rPr>
            </w:pPr>
            <w:r>
              <w:rPr>
                <w:i/>
                <w:iCs/>
                <w:color w:val="000000"/>
                <w:sz w:val="18"/>
                <w:szCs w:val="20"/>
              </w:rPr>
              <w:t>5</w:t>
            </w:r>
            <w:r w:rsidR="00574F2D" w:rsidRPr="006F0FF6">
              <w:rPr>
                <w:i/>
                <w:iCs/>
                <w:color w:val="000000"/>
                <w:sz w:val="18"/>
                <w:szCs w:val="20"/>
              </w:rPr>
              <w:t xml:space="preserve"> min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2A367" w14:textId="77777777" w:rsidR="00574F2D" w:rsidRPr="14E3DF24" w:rsidRDefault="00574F2D" w:rsidP="00516B5F">
            <w:pPr>
              <w:spacing w:line="253" w:lineRule="atLeast"/>
              <w:ind w:left="36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GB"/>
              </w:rPr>
              <w:t>Review actions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3A952" w14:textId="77777777" w:rsidR="00574F2D" w:rsidRPr="006F0FF6" w:rsidRDefault="00574F2D" w:rsidP="00574F2D">
            <w:pPr>
              <w:spacing w:line="253" w:lineRule="atLeast"/>
              <w:jc w:val="center"/>
              <w:rPr>
                <w:i/>
                <w:iCs/>
                <w:color w:val="000000"/>
                <w:sz w:val="18"/>
                <w:szCs w:val="20"/>
              </w:rPr>
            </w:pPr>
            <w:r w:rsidRPr="006F0FF6">
              <w:rPr>
                <w:i/>
                <w:iCs/>
                <w:color w:val="000000"/>
                <w:sz w:val="18"/>
                <w:szCs w:val="20"/>
              </w:rPr>
              <w:t>ESO</w:t>
            </w:r>
          </w:p>
          <w:p w14:paraId="15636EDB" w14:textId="77777777" w:rsidR="00574F2D" w:rsidRPr="006F0FF6" w:rsidRDefault="00574F2D" w:rsidP="00574F2D">
            <w:pPr>
              <w:spacing w:line="253" w:lineRule="atLeast"/>
              <w:jc w:val="center"/>
              <w:rPr>
                <w:i/>
                <w:iCs/>
                <w:color w:val="000000"/>
                <w:sz w:val="18"/>
                <w:szCs w:val="20"/>
              </w:rPr>
            </w:pPr>
          </w:p>
        </w:tc>
      </w:tr>
      <w:tr w:rsidR="00574F2D" w:rsidRPr="006F0FF6" w14:paraId="0550FAD7" w14:textId="77777777" w:rsidTr="00E67C45">
        <w:trPr>
          <w:trHeight w:val="724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A65E6" w14:textId="77777777" w:rsidR="00574F2D" w:rsidRPr="00C85B5F" w:rsidRDefault="00574F2D" w:rsidP="00574F2D">
            <w:pPr>
              <w:spacing w:line="253" w:lineRule="atLeast"/>
              <w:jc w:val="center"/>
              <w:rPr>
                <w:color w:val="000000"/>
                <w:sz w:val="18"/>
              </w:rPr>
            </w:pPr>
            <w:r w:rsidRPr="002355A5">
              <w:rPr>
                <w:color w:val="000000"/>
                <w:sz w:val="18"/>
                <w:szCs w:val="2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3E8FE" w14:textId="77777777" w:rsidR="00574F2D" w:rsidRPr="006F0FF6" w:rsidRDefault="00574F2D" w:rsidP="00574F2D">
            <w:pPr>
              <w:spacing w:line="253" w:lineRule="atLeast"/>
              <w:jc w:val="center"/>
              <w:rPr>
                <w:color w:val="000000"/>
                <w:sz w:val="18"/>
              </w:rPr>
            </w:pPr>
            <w:r>
              <w:rPr>
                <w:i/>
                <w:iCs/>
                <w:color w:val="000000"/>
                <w:sz w:val="18"/>
                <w:szCs w:val="20"/>
              </w:rPr>
              <w:t xml:space="preserve"> 15 min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E3A35" w14:textId="77777777" w:rsidR="00574F2D" w:rsidRPr="006F0FF6" w:rsidRDefault="00574F2D" w:rsidP="00516B5F">
            <w:pPr>
              <w:spacing w:line="253" w:lineRule="atLeast"/>
              <w:ind w:left="36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GB"/>
              </w:rPr>
              <w:t>Ofgem feedback on the mid-year report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BC63E" w14:textId="77777777" w:rsidR="00574F2D" w:rsidRPr="002355A5" w:rsidRDefault="00E67C45" w:rsidP="00574F2D">
            <w:pPr>
              <w:spacing w:line="253" w:lineRule="atLeast"/>
              <w:jc w:val="center"/>
              <w:rPr>
                <w:i/>
                <w:iCs/>
                <w:color w:val="000000"/>
                <w:sz w:val="18"/>
                <w:szCs w:val="20"/>
              </w:rPr>
            </w:pPr>
            <w:r>
              <w:rPr>
                <w:i/>
                <w:iCs/>
                <w:color w:val="000000"/>
                <w:sz w:val="18"/>
                <w:szCs w:val="20"/>
              </w:rPr>
              <w:t>Ofgem</w:t>
            </w:r>
          </w:p>
        </w:tc>
      </w:tr>
      <w:tr w:rsidR="00574F2D" w:rsidRPr="006F0FF6" w14:paraId="1DAE307B" w14:textId="77777777" w:rsidTr="00E67C45">
        <w:trPr>
          <w:trHeight w:val="724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3B412" w14:textId="77777777" w:rsidR="00574F2D" w:rsidRPr="006F0FF6" w:rsidRDefault="00574F2D" w:rsidP="00574F2D">
            <w:pPr>
              <w:spacing w:line="253" w:lineRule="atLeast"/>
              <w:jc w:val="center"/>
              <w:rPr>
                <w:b/>
                <w:bCs/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FBF3A" w14:textId="77777777" w:rsidR="00574F2D" w:rsidRDefault="00574F2D" w:rsidP="00574F2D">
            <w:pPr>
              <w:spacing w:line="253" w:lineRule="atLeast"/>
              <w:jc w:val="center"/>
              <w:rPr>
                <w:i/>
                <w:iCs/>
                <w:color w:val="000000"/>
                <w:sz w:val="18"/>
                <w:szCs w:val="20"/>
              </w:rPr>
            </w:pPr>
            <w:r>
              <w:rPr>
                <w:i/>
                <w:iCs/>
                <w:color w:val="000000"/>
                <w:sz w:val="18"/>
                <w:szCs w:val="20"/>
              </w:rPr>
              <w:t xml:space="preserve"> 15 min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7DFC0" w14:textId="77777777" w:rsidR="00574F2D" w:rsidRPr="00574F2D" w:rsidRDefault="00516B5F" w:rsidP="00516B5F">
            <w:pPr>
              <w:spacing w:line="253" w:lineRule="atLeast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GB"/>
              </w:rPr>
              <w:t xml:space="preserve">     </w:t>
            </w:r>
            <w:r w:rsidR="00E67C45">
              <w:rPr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="00574F2D">
              <w:rPr>
                <w:b/>
                <w:bCs/>
                <w:color w:val="000000"/>
                <w:sz w:val="18"/>
                <w:szCs w:val="18"/>
                <w:lang w:val="en-GB"/>
              </w:rPr>
              <w:t xml:space="preserve">Seek further clarification on Ofgem </w:t>
            </w:r>
            <w:proofErr w:type="spellStart"/>
            <w:r w:rsidR="00574F2D">
              <w:rPr>
                <w:b/>
                <w:bCs/>
                <w:color w:val="000000"/>
                <w:sz w:val="18"/>
                <w:szCs w:val="18"/>
                <w:lang w:val="en-GB"/>
              </w:rPr>
              <w:t>mid year</w:t>
            </w:r>
            <w:proofErr w:type="spellEnd"/>
            <w:r w:rsidR="00574F2D">
              <w:rPr>
                <w:b/>
                <w:bCs/>
                <w:color w:val="000000"/>
                <w:sz w:val="18"/>
                <w:szCs w:val="18"/>
                <w:lang w:val="en-GB"/>
              </w:rPr>
              <w:t xml:space="preserve"> report questions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F8DC3" w14:textId="77777777" w:rsidR="00574F2D" w:rsidRPr="006F0FF6" w:rsidRDefault="00574F2D" w:rsidP="00574F2D">
            <w:pPr>
              <w:spacing w:line="253" w:lineRule="atLeast"/>
              <w:jc w:val="center"/>
              <w:rPr>
                <w:i/>
                <w:iCs/>
                <w:color w:val="000000"/>
                <w:sz w:val="18"/>
                <w:szCs w:val="20"/>
              </w:rPr>
            </w:pPr>
            <w:r>
              <w:rPr>
                <w:i/>
                <w:iCs/>
                <w:color w:val="000000"/>
                <w:sz w:val="18"/>
                <w:szCs w:val="20"/>
              </w:rPr>
              <w:t>ESO</w:t>
            </w:r>
          </w:p>
        </w:tc>
      </w:tr>
      <w:tr w:rsidR="00574F2D" w:rsidRPr="006F0FF6" w14:paraId="4C8EEE0D" w14:textId="77777777" w:rsidTr="00E67C45">
        <w:trPr>
          <w:trHeight w:val="724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6B2D4" w14:textId="77777777" w:rsidR="00574F2D" w:rsidRPr="006F0FF6" w:rsidRDefault="00574F2D" w:rsidP="00574F2D">
            <w:pPr>
              <w:spacing w:line="253" w:lineRule="atLeast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7482E" w14:textId="77777777" w:rsidR="00574F2D" w:rsidRPr="006F0FF6" w:rsidRDefault="00574F2D" w:rsidP="00574F2D">
            <w:pPr>
              <w:spacing w:line="253" w:lineRule="atLeast"/>
              <w:rPr>
                <w:color w:val="000000"/>
                <w:sz w:val="18"/>
              </w:rPr>
            </w:pPr>
            <w:r>
              <w:rPr>
                <w:i/>
                <w:iCs/>
                <w:color w:val="000000"/>
                <w:sz w:val="18"/>
                <w:szCs w:val="20"/>
              </w:rPr>
              <w:t xml:space="preserve"> 10</w:t>
            </w:r>
            <w:r w:rsidRPr="006F0FF6">
              <w:rPr>
                <w:i/>
                <w:iCs/>
                <w:color w:val="000000"/>
                <w:sz w:val="18"/>
                <w:szCs w:val="20"/>
              </w:rPr>
              <w:t xml:space="preserve"> min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8EC64" w14:textId="77777777" w:rsidR="00574F2D" w:rsidRPr="006F0FF6" w:rsidRDefault="00516B5F" w:rsidP="00516B5F">
            <w:pPr>
              <w:spacing w:line="253" w:lineRule="atLeast"/>
              <w:rPr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GB"/>
              </w:rPr>
              <w:t xml:space="preserve">      </w:t>
            </w:r>
            <w:r w:rsidR="00574F2D">
              <w:rPr>
                <w:b/>
                <w:bCs/>
                <w:color w:val="000000"/>
                <w:sz w:val="18"/>
                <w:szCs w:val="18"/>
                <w:lang w:val="en-GB"/>
              </w:rPr>
              <w:t>Final update on arrangements for Wednesday 13th Nov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1B6CF" w14:textId="77777777" w:rsidR="00574F2D" w:rsidRPr="006F0FF6" w:rsidRDefault="00574F2D" w:rsidP="00574F2D">
            <w:pPr>
              <w:spacing w:line="253" w:lineRule="atLeast"/>
              <w:jc w:val="center"/>
              <w:rPr>
                <w:color w:val="000000"/>
                <w:sz w:val="18"/>
              </w:rPr>
            </w:pPr>
            <w:r w:rsidRPr="006F0FF6">
              <w:rPr>
                <w:i/>
                <w:iCs/>
                <w:color w:val="000000"/>
                <w:sz w:val="18"/>
                <w:szCs w:val="20"/>
              </w:rPr>
              <w:t>ESO</w:t>
            </w:r>
          </w:p>
        </w:tc>
      </w:tr>
      <w:tr w:rsidR="00574F2D" w:rsidRPr="006F0FF6" w14:paraId="36774A0D" w14:textId="77777777" w:rsidTr="00E67C45">
        <w:trPr>
          <w:trHeight w:val="724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F542C" w14:textId="77777777" w:rsidR="00574F2D" w:rsidRPr="006F0FF6" w:rsidRDefault="00574F2D" w:rsidP="00574F2D">
            <w:pPr>
              <w:spacing w:line="253" w:lineRule="atLeast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CE197" w14:textId="77777777" w:rsidR="00574F2D" w:rsidRPr="006F0FF6" w:rsidRDefault="00574F2D" w:rsidP="00574F2D">
            <w:pPr>
              <w:spacing w:line="253" w:lineRule="atLeast"/>
              <w:jc w:val="center"/>
              <w:rPr>
                <w:color w:val="000000"/>
                <w:sz w:val="18"/>
              </w:rPr>
            </w:pPr>
            <w:r>
              <w:rPr>
                <w:i/>
                <w:iCs/>
                <w:color w:val="000000"/>
                <w:sz w:val="18"/>
                <w:szCs w:val="20"/>
              </w:rPr>
              <w:t>5</w:t>
            </w:r>
            <w:r w:rsidRPr="006F0FF6">
              <w:rPr>
                <w:i/>
                <w:iCs/>
                <w:color w:val="000000"/>
                <w:sz w:val="18"/>
                <w:szCs w:val="20"/>
              </w:rPr>
              <w:t xml:space="preserve"> min</w:t>
            </w:r>
          </w:p>
        </w:tc>
        <w:tc>
          <w:tcPr>
            <w:tcW w:w="5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7543D" w14:textId="77777777" w:rsidR="00574F2D" w:rsidRPr="006F0FF6" w:rsidRDefault="00574F2D" w:rsidP="00516B5F">
            <w:pPr>
              <w:spacing w:line="253" w:lineRule="atLeast"/>
              <w:ind w:left="360"/>
              <w:rPr>
                <w:color w:val="000000"/>
                <w:sz w:val="18"/>
              </w:rPr>
            </w:pPr>
            <w:r w:rsidRPr="006F0FF6">
              <w:rPr>
                <w:b/>
                <w:bCs/>
                <w:color w:val="000000"/>
                <w:sz w:val="18"/>
              </w:rPr>
              <w:t>AOB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7A811" w14:textId="77777777" w:rsidR="00574F2D" w:rsidRPr="006F0FF6" w:rsidRDefault="00574F2D" w:rsidP="00574F2D">
            <w:pPr>
              <w:spacing w:line="253" w:lineRule="atLeast"/>
              <w:jc w:val="center"/>
              <w:rPr>
                <w:color w:val="000000"/>
                <w:sz w:val="18"/>
              </w:rPr>
            </w:pPr>
            <w:r w:rsidRPr="006F0FF6">
              <w:rPr>
                <w:i/>
                <w:iCs/>
                <w:color w:val="000000"/>
                <w:sz w:val="18"/>
                <w:szCs w:val="20"/>
              </w:rPr>
              <w:t>All</w:t>
            </w:r>
          </w:p>
        </w:tc>
      </w:tr>
    </w:tbl>
    <w:p w14:paraId="19609F34" w14:textId="77777777" w:rsidR="00DA3CB6" w:rsidRPr="00C121BA" w:rsidRDefault="00DA3CB6" w:rsidP="24173B80">
      <w:pPr>
        <w:rPr>
          <w:rFonts w:cs="Arial"/>
          <w:sz w:val="20"/>
          <w:szCs w:val="20"/>
          <w:lang w:val="en-GB"/>
        </w:rPr>
      </w:pPr>
      <w:r w:rsidRPr="00C121BA">
        <w:rPr>
          <w:rFonts w:cs="Arial"/>
          <w:sz w:val="20"/>
          <w:szCs w:val="20"/>
          <w:lang w:val="en-GB"/>
        </w:rPr>
        <w:tab/>
      </w:r>
      <w:r w:rsidRPr="00C121BA">
        <w:rPr>
          <w:rFonts w:cs="Arial"/>
          <w:sz w:val="20"/>
          <w:szCs w:val="20"/>
          <w:lang w:val="en-GB"/>
        </w:rPr>
        <w:tab/>
      </w:r>
      <w:r w:rsidRPr="00C121BA">
        <w:rPr>
          <w:rFonts w:cs="Arial"/>
          <w:sz w:val="20"/>
          <w:szCs w:val="20"/>
          <w:lang w:val="en-GB"/>
        </w:rPr>
        <w:tab/>
      </w:r>
      <w:r w:rsidRPr="00C121BA">
        <w:rPr>
          <w:rFonts w:cs="Arial"/>
          <w:sz w:val="20"/>
          <w:szCs w:val="20"/>
          <w:lang w:val="en-GB"/>
        </w:rPr>
        <w:tab/>
      </w:r>
    </w:p>
    <w:bookmarkEnd w:id="0"/>
    <w:p w14:paraId="2AC8567F" w14:textId="77777777" w:rsidR="00DA3CB6" w:rsidRPr="00C121BA" w:rsidRDefault="00DA3CB6" w:rsidP="24173B80">
      <w:pPr>
        <w:spacing w:before="0" w:beforeAutospacing="0" w:after="0" w:afterAutospacing="0"/>
        <w:rPr>
          <w:rFonts w:cs="Arial"/>
          <w:vanish/>
          <w:sz w:val="20"/>
          <w:szCs w:val="20"/>
          <w:lang w:val="en-GB"/>
        </w:rPr>
      </w:pPr>
    </w:p>
    <w:p w14:paraId="62AB2059" w14:textId="77777777" w:rsidR="00DA3CB6" w:rsidRPr="00C121BA" w:rsidRDefault="00DA3CB6" w:rsidP="24173B80">
      <w:pPr>
        <w:rPr>
          <w:rFonts w:cs="Arial"/>
          <w:sz w:val="20"/>
          <w:szCs w:val="20"/>
          <w:u w:val="single"/>
          <w:lang w:val="en-GB"/>
        </w:rPr>
      </w:pPr>
    </w:p>
    <w:p w14:paraId="5A04EAD8" w14:textId="77777777" w:rsidR="00DA3CB6" w:rsidRPr="00C121BA" w:rsidRDefault="00DA3CB6" w:rsidP="24173B80">
      <w:pPr>
        <w:pStyle w:val="NormalItalics"/>
        <w:jc w:val="center"/>
        <w:rPr>
          <w:rFonts w:cs="Arial"/>
          <w:b/>
          <w:i w:val="0"/>
          <w:sz w:val="20"/>
          <w:szCs w:val="20"/>
          <w:lang w:val="en-GB"/>
        </w:rPr>
      </w:pPr>
      <w:r w:rsidRPr="00C121BA">
        <w:rPr>
          <w:rFonts w:cs="Arial"/>
          <w:b/>
          <w:i w:val="0"/>
          <w:sz w:val="20"/>
          <w:szCs w:val="20"/>
          <w:lang w:val="en-GB"/>
        </w:rPr>
        <w:br w:type="page"/>
      </w:r>
      <w:r w:rsidRPr="00C121BA">
        <w:rPr>
          <w:rFonts w:cs="Arial"/>
          <w:b/>
          <w:i w:val="0"/>
          <w:sz w:val="20"/>
          <w:szCs w:val="20"/>
          <w:lang w:val="en-GB"/>
        </w:rPr>
        <w:lastRenderedPageBreak/>
        <w:t xml:space="preserve"> Meeting record</w:t>
      </w:r>
    </w:p>
    <w:p w14:paraId="09B24B9F" w14:textId="77777777" w:rsidR="00377D4F" w:rsidRPr="00C121BA" w:rsidRDefault="00DA3CB6" w:rsidP="24173B80">
      <w:pPr>
        <w:jc w:val="center"/>
        <w:rPr>
          <w:rFonts w:cs="Arial"/>
          <w:b/>
          <w:sz w:val="20"/>
          <w:szCs w:val="20"/>
          <w:lang w:val="en-GB"/>
        </w:rPr>
      </w:pPr>
      <w:r w:rsidRPr="00C121BA">
        <w:rPr>
          <w:rFonts w:cs="Arial"/>
          <w:b/>
          <w:sz w:val="20"/>
          <w:szCs w:val="20"/>
          <w:lang w:val="en-GB"/>
        </w:rPr>
        <w:t xml:space="preserve"> Monthly Monitoring Meeting</w:t>
      </w:r>
    </w:p>
    <w:p w14:paraId="180BBC80" w14:textId="77777777" w:rsidR="00DA3CB6" w:rsidRPr="00C121BA" w:rsidRDefault="00DA3CB6" w:rsidP="002355A5">
      <w:pPr>
        <w:jc w:val="center"/>
        <w:rPr>
          <w:rFonts w:cs="Arial"/>
          <w:sz w:val="20"/>
          <w:szCs w:val="20"/>
          <w:lang w:val="en-GB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1"/>
        <w:gridCol w:w="1701"/>
        <w:gridCol w:w="288"/>
        <w:gridCol w:w="2921"/>
        <w:gridCol w:w="246"/>
        <w:gridCol w:w="1432"/>
        <w:gridCol w:w="737"/>
      </w:tblGrid>
      <w:tr w:rsidR="009B3A0C" w:rsidRPr="00C121BA" w14:paraId="331E7DB3" w14:textId="77777777" w:rsidTr="14E3DF24">
        <w:tc>
          <w:tcPr>
            <w:tcW w:w="1701" w:type="dxa"/>
          </w:tcPr>
          <w:p w14:paraId="154B34A6" w14:textId="77777777" w:rsidR="00DA3CB6" w:rsidRPr="00C121BA" w:rsidRDefault="00DA3CB6" w:rsidP="24173B80">
            <w:pPr>
              <w:spacing w:before="0" w:beforeAutospacing="0" w:after="0" w:afterAutospacing="0"/>
              <w:rPr>
                <w:rFonts w:cs="Arial"/>
                <w:b/>
                <w:lang w:val="en-GB"/>
              </w:rPr>
            </w:pPr>
            <w:r w:rsidRPr="00C121BA">
              <w:rPr>
                <w:rFonts w:cs="Arial"/>
                <w:b/>
                <w:lang w:val="en-GB"/>
              </w:rPr>
              <w:t>Date:</w:t>
            </w:r>
            <w:r w:rsidR="00CB4A81" w:rsidRPr="00C121BA">
              <w:rPr>
                <w:rFonts w:cs="Arial"/>
                <w:b/>
                <w:lang w:val="en-GB"/>
              </w:rPr>
              <w:t xml:space="preserve"> </w:t>
            </w:r>
          </w:p>
        </w:tc>
        <w:tc>
          <w:tcPr>
            <w:tcW w:w="1701" w:type="dxa"/>
          </w:tcPr>
          <w:p w14:paraId="012F75FC" w14:textId="77777777" w:rsidR="00DA3CB6" w:rsidRPr="00C121BA" w:rsidRDefault="00B420BE" w:rsidP="14E3DF24">
            <w:pPr>
              <w:spacing w:before="0" w:beforeAutospacing="0" w:after="0" w:afterAutospacing="0"/>
              <w:rPr>
                <w:rFonts w:cs="Arial"/>
                <w:b/>
                <w:bCs/>
                <w:lang w:val="en-GB"/>
              </w:rPr>
            </w:pPr>
            <w:r>
              <w:rPr>
                <w:rFonts w:cs="Arial"/>
                <w:b/>
                <w:bCs/>
                <w:lang w:val="en-GB"/>
              </w:rPr>
              <w:t>6</w:t>
            </w:r>
            <w:r w:rsidRPr="00B420BE">
              <w:rPr>
                <w:rFonts w:cs="Arial"/>
                <w:b/>
                <w:bCs/>
                <w:vertAlign w:val="superscript"/>
                <w:lang w:val="en-GB"/>
              </w:rPr>
              <w:t>th</w:t>
            </w:r>
            <w:r>
              <w:rPr>
                <w:rFonts w:cs="Arial"/>
                <w:b/>
                <w:bCs/>
                <w:lang w:val="en-GB"/>
              </w:rPr>
              <w:t xml:space="preserve"> Nov</w:t>
            </w:r>
            <w:r w:rsidR="14E3DF24" w:rsidRPr="14E3DF24">
              <w:rPr>
                <w:rFonts w:cs="Arial"/>
                <w:b/>
                <w:bCs/>
                <w:lang w:val="en-GB"/>
              </w:rPr>
              <w:t xml:space="preserve"> 2019</w:t>
            </w:r>
          </w:p>
        </w:tc>
        <w:tc>
          <w:tcPr>
            <w:tcW w:w="288" w:type="dxa"/>
          </w:tcPr>
          <w:p w14:paraId="14CE086F" w14:textId="77777777" w:rsidR="005013FC" w:rsidRDefault="005013FC" w:rsidP="24173B80">
            <w:pPr>
              <w:spacing w:before="0" w:beforeAutospacing="0" w:after="0" w:afterAutospacing="0"/>
              <w:rPr>
                <w:rFonts w:cs="Arial"/>
                <w:b/>
                <w:lang w:val="en-GB"/>
              </w:rPr>
            </w:pPr>
          </w:p>
          <w:p w14:paraId="3F265388" w14:textId="77777777" w:rsidR="00DA3CB6" w:rsidRPr="00C121BA" w:rsidRDefault="00DA3CB6" w:rsidP="24173B80">
            <w:pPr>
              <w:spacing w:before="0" w:beforeAutospacing="0" w:after="0" w:afterAutospacing="0"/>
              <w:rPr>
                <w:rFonts w:cs="Arial"/>
                <w:b/>
                <w:lang w:val="en-GB"/>
              </w:rPr>
            </w:pPr>
          </w:p>
        </w:tc>
        <w:tc>
          <w:tcPr>
            <w:tcW w:w="2921" w:type="dxa"/>
          </w:tcPr>
          <w:p w14:paraId="3C5F5924" w14:textId="77777777" w:rsidR="00DA3CB6" w:rsidRPr="00C121BA" w:rsidRDefault="00DA3CB6" w:rsidP="24173B80">
            <w:pPr>
              <w:pStyle w:val="ListParagraph"/>
              <w:spacing w:after="0"/>
              <w:ind w:left="473"/>
              <w:rPr>
                <w:rFonts w:cs="Arial"/>
              </w:rPr>
            </w:pPr>
          </w:p>
        </w:tc>
        <w:tc>
          <w:tcPr>
            <w:tcW w:w="246" w:type="dxa"/>
          </w:tcPr>
          <w:p w14:paraId="30EB9C3C" w14:textId="77777777" w:rsidR="00DA3CB6" w:rsidRPr="00C121BA" w:rsidRDefault="00DA3CB6" w:rsidP="24173B80">
            <w:pPr>
              <w:spacing w:before="0" w:beforeAutospacing="0" w:after="0" w:afterAutospacing="0"/>
              <w:rPr>
                <w:rFonts w:cs="Arial"/>
                <w:lang w:val="en-GB"/>
              </w:rPr>
            </w:pPr>
          </w:p>
        </w:tc>
        <w:tc>
          <w:tcPr>
            <w:tcW w:w="1432" w:type="dxa"/>
          </w:tcPr>
          <w:p w14:paraId="59D581B0" w14:textId="77777777" w:rsidR="001B28C4" w:rsidRPr="00C121BA" w:rsidRDefault="001B28C4" w:rsidP="24173B80">
            <w:pPr>
              <w:spacing w:after="0"/>
              <w:rPr>
                <w:rFonts w:cs="Arial"/>
              </w:rPr>
            </w:pPr>
          </w:p>
        </w:tc>
        <w:tc>
          <w:tcPr>
            <w:tcW w:w="737" w:type="dxa"/>
          </w:tcPr>
          <w:p w14:paraId="6EDD193F" w14:textId="77777777" w:rsidR="00DA3CB6" w:rsidRPr="00C121BA" w:rsidRDefault="00DA3CB6" w:rsidP="24173B80">
            <w:pPr>
              <w:spacing w:before="0" w:beforeAutospacing="0" w:after="0" w:afterAutospacing="0"/>
              <w:rPr>
                <w:rFonts w:cs="Arial"/>
                <w:lang w:val="en-GB"/>
              </w:rPr>
            </w:pPr>
          </w:p>
        </w:tc>
      </w:tr>
      <w:tr w:rsidR="009B3A0C" w:rsidRPr="00C121BA" w14:paraId="5ED06432" w14:textId="77777777" w:rsidTr="14E3DF24">
        <w:tc>
          <w:tcPr>
            <w:tcW w:w="1701" w:type="dxa"/>
          </w:tcPr>
          <w:p w14:paraId="33C90096" w14:textId="77777777" w:rsidR="00DA3CB6" w:rsidRPr="00C121BA" w:rsidRDefault="00DA3CB6" w:rsidP="24173B80">
            <w:pPr>
              <w:rPr>
                <w:rFonts w:cs="Arial"/>
                <w:b/>
                <w:lang w:val="en-GB"/>
              </w:rPr>
            </w:pPr>
            <w:r w:rsidRPr="00C121BA">
              <w:rPr>
                <w:rFonts w:cs="Arial"/>
                <w:b/>
                <w:lang w:val="en-GB"/>
              </w:rPr>
              <w:t>Time:</w:t>
            </w:r>
            <w:r w:rsidR="00CB4A81" w:rsidRPr="00C121BA">
              <w:rPr>
                <w:rFonts w:cs="Arial"/>
                <w:b/>
                <w:lang w:val="en-GB"/>
              </w:rPr>
              <w:t xml:space="preserve"> </w:t>
            </w:r>
          </w:p>
        </w:tc>
        <w:tc>
          <w:tcPr>
            <w:tcW w:w="1701" w:type="dxa"/>
          </w:tcPr>
          <w:p w14:paraId="41285C0D" w14:textId="77777777" w:rsidR="00DA3CB6" w:rsidRPr="00C121BA" w:rsidRDefault="002E5D2B" w:rsidP="14E3DF24">
            <w:pPr>
              <w:rPr>
                <w:rFonts w:cs="Arial"/>
                <w:lang w:val="en-GB"/>
              </w:rPr>
            </w:pPr>
            <w:r w:rsidRPr="14E3DF24">
              <w:rPr>
                <w:rFonts w:cs="Arial"/>
                <w:b/>
                <w:bCs/>
                <w:lang w:val="en-GB"/>
              </w:rPr>
              <w:t>1</w:t>
            </w:r>
            <w:r w:rsidR="00B420BE">
              <w:rPr>
                <w:rFonts w:cs="Arial"/>
                <w:b/>
                <w:bCs/>
                <w:lang w:val="en-GB"/>
              </w:rPr>
              <w:t>4</w:t>
            </w:r>
            <w:r w:rsidR="14E3DF24" w:rsidRPr="14E3DF24">
              <w:rPr>
                <w:rFonts w:cs="Arial"/>
                <w:b/>
                <w:bCs/>
                <w:lang w:val="en-GB"/>
              </w:rPr>
              <w:t>:00 – 1</w:t>
            </w:r>
            <w:r w:rsidR="00B420BE">
              <w:rPr>
                <w:rFonts w:cs="Arial"/>
                <w:b/>
                <w:bCs/>
                <w:lang w:val="en-GB"/>
              </w:rPr>
              <w:t>6</w:t>
            </w:r>
            <w:r w:rsidR="14E3DF24" w:rsidRPr="14E3DF24">
              <w:rPr>
                <w:rFonts w:cs="Arial"/>
                <w:b/>
                <w:bCs/>
                <w:lang w:val="en-GB"/>
              </w:rPr>
              <w:t>:00</w:t>
            </w:r>
          </w:p>
        </w:tc>
        <w:tc>
          <w:tcPr>
            <w:tcW w:w="288" w:type="dxa"/>
          </w:tcPr>
          <w:p w14:paraId="4460253B" w14:textId="77777777" w:rsidR="00DA3CB6" w:rsidRPr="00C121BA" w:rsidRDefault="00DA3CB6" w:rsidP="24173B80">
            <w:pPr>
              <w:rPr>
                <w:rFonts w:cs="Arial"/>
                <w:lang w:val="en-GB"/>
              </w:rPr>
            </w:pPr>
          </w:p>
        </w:tc>
        <w:tc>
          <w:tcPr>
            <w:tcW w:w="2921" w:type="dxa"/>
          </w:tcPr>
          <w:p w14:paraId="37811F5A" w14:textId="77777777" w:rsidR="00DA3CB6" w:rsidRPr="00C121BA" w:rsidRDefault="00DA3CB6" w:rsidP="24173B80">
            <w:pPr>
              <w:rPr>
                <w:rFonts w:cs="Arial"/>
                <w:highlight w:val="yellow"/>
                <w:lang w:val="en-GB"/>
              </w:rPr>
            </w:pPr>
          </w:p>
        </w:tc>
        <w:tc>
          <w:tcPr>
            <w:tcW w:w="246" w:type="dxa"/>
          </w:tcPr>
          <w:p w14:paraId="6F9C8E25" w14:textId="77777777" w:rsidR="00DA3CB6" w:rsidRPr="00C121BA" w:rsidRDefault="00DA3CB6" w:rsidP="24173B80">
            <w:pPr>
              <w:rPr>
                <w:rFonts w:cs="Arial"/>
                <w:lang w:val="en-GB"/>
              </w:rPr>
            </w:pPr>
          </w:p>
        </w:tc>
        <w:tc>
          <w:tcPr>
            <w:tcW w:w="1432" w:type="dxa"/>
          </w:tcPr>
          <w:p w14:paraId="64060219" w14:textId="77777777" w:rsidR="00DA3CB6" w:rsidRPr="00C121BA" w:rsidRDefault="00DA3CB6" w:rsidP="24173B80">
            <w:pPr>
              <w:rPr>
                <w:rFonts w:cs="Arial"/>
                <w:lang w:val="en-GB"/>
              </w:rPr>
            </w:pPr>
          </w:p>
        </w:tc>
        <w:tc>
          <w:tcPr>
            <w:tcW w:w="737" w:type="dxa"/>
          </w:tcPr>
          <w:p w14:paraId="558B5F35" w14:textId="77777777" w:rsidR="00DA3CB6" w:rsidRPr="00C121BA" w:rsidRDefault="00DA3CB6" w:rsidP="24173B80">
            <w:pPr>
              <w:rPr>
                <w:rFonts w:cs="Arial"/>
                <w:lang w:val="en-GB"/>
              </w:rPr>
            </w:pPr>
          </w:p>
        </w:tc>
      </w:tr>
      <w:tr w:rsidR="009B3A0C" w:rsidRPr="00C121BA" w14:paraId="7254EFE0" w14:textId="77777777" w:rsidTr="14E3DF24">
        <w:tc>
          <w:tcPr>
            <w:tcW w:w="1701" w:type="dxa"/>
          </w:tcPr>
          <w:p w14:paraId="7BA0BA3C" w14:textId="77777777" w:rsidR="00DA3CB6" w:rsidRPr="00C121BA" w:rsidRDefault="00DA3CB6" w:rsidP="24173B80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1701" w:type="dxa"/>
          </w:tcPr>
          <w:p w14:paraId="60159B76" w14:textId="77777777" w:rsidR="00DA3CB6" w:rsidRPr="00C121BA" w:rsidRDefault="00DA3CB6" w:rsidP="24173B80">
            <w:pPr>
              <w:rPr>
                <w:rFonts w:cs="Arial"/>
                <w:lang w:val="en-GB"/>
              </w:rPr>
            </w:pPr>
          </w:p>
        </w:tc>
        <w:tc>
          <w:tcPr>
            <w:tcW w:w="288" w:type="dxa"/>
          </w:tcPr>
          <w:p w14:paraId="37F9EDE3" w14:textId="77777777" w:rsidR="00DA3CB6" w:rsidRPr="00C121BA" w:rsidRDefault="00DA3CB6" w:rsidP="24173B80">
            <w:pPr>
              <w:rPr>
                <w:rFonts w:cs="Arial"/>
                <w:lang w:val="en-GB"/>
              </w:rPr>
            </w:pPr>
          </w:p>
        </w:tc>
        <w:tc>
          <w:tcPr>
            <w:tcW w:w="2921" w:type="dxa"/>
          </w:tcPr>
          <w:p w14:paraId="0A27E626" w14:textId="77777777" w:rsidR="00DA3CB6" w:rsidRPr="00C121BA" w:rsidRDefault="00DA3CB6" w:rsidP="24173B80">
            <w:pPr>
              <w:rPr>
                <w:rFonts w:cs="Arial"/>
                <w:lang w:val="en-GB"/>
              </w:rPr>
            </w:pPr>
          </w:p>
        </w:tc>
        <w:tc>
          <w:tcPr>
            <w:tcW w:w="246" w:type="dxa"/>
          </w:tcPr>
          <w:p w14:paraId="37B4FAA0" w14:textId="77777777" w:rsidR="00DA3CB6" w:rsidRPr="00C121BA" w:rsidRDefault="00DA3CB6" w:rsidP="24173B80">
            <w:pPr>
              <w:rPr>
                <w:rFonts w:cs="Arial"/>
                <w:lang w:val="en-GB"/>
              </w:rPr>
            </w:pPr>
          </w:p>
        </w:tc>
        <w:tc>
          <w:tcPr>
            <w:tcW w:w="1432" w:type="dxa"/>
          </w:tcPr>
          <w:p w14:paraId="34FF9628" w14:textId="77777777" w:rsidR="00DA3CB6" w:rsidRPr="00C121BA" w:rsidRDefault="00DA3CB6" w:rsidP="24173B80">
            <w:pPr>
              <w:rPr>
                <w:rFonts w:cs="Arial"/>
                <w:lang w:val="en-GB"/>
              </w:rPr>
            </w:pPr>
          </w:p>
        </w:tc>
        <w:tc>
          <w:tcPr>
            <w:tcW w:w="737" w:type="dxa"/>
          </w:tcPr>
          <w:p w14:paraId="4C3041B1" w14:textId="77777777" w:rsidR="00DA3CB6" w:rsidRPr="00C121BA" w:rsidRDefault="00DA3CB6" w:rsidP="24173B80">
            <w:pPr>
              <w:rPr>
                <w:rFonts w:cs="Arial"/>
                <w:lang w:val="en-GB"/>
              </w:rPr>
            </w:pPr>
          </w:p>
        </w:tc>
      </w:tr>
      <w:tr w:rsidR="009B3A0C" w:rsidRPr="00C121BA" w14:paraId="378E9C08" w14:textId="77777777" w:rsidTr="14E3DF24">
        <w:trPr>
          <w:trHeight w:val="277"/>
        </w:trPr>
        <w:tc>
          <w:tcPr>
            <w:tcW w:w="1701" w:type="dxa"/>
          </w:tcPr>
          <w:p w14:paraId="3F8356A4" w14:textId="77777777" w:rsidR="00DA3CB6" w:rsidRDefault="00DA3CB6" w:rsidP="24173B80">
            <w:pPr>
              <w:rPr>
                <w:rFonts w:cs="Arial"/>
                <w:b/>
                <w:lang w:val="en-GB"/>
              </w:rPr>
            </w:pPr>
            <w:r w:rsidRPr="00C121BA">
              <w:rPr>
                <w:rFonts w:cs="Arial"/>
                <w:b/>
                <w:lang w:val="en-GB"/>
              </w:rPr>
              <w:t>Venue/format:</w:t>
            </w:r>
            <w:r w:rsidR="00FA3AFA">
              <w:rPr>
                <w:rFonts w:cs="Arial"/>
                <w:b/>
                <w:lang w:val="en-GB"/>
              </w:rPr>
              <w:t xml:space="preserve"> </w:t>
            </w:r>
          </w:p>
          <w:p w14:paraId="2C9FAB92" w14:textId="77777777" w:rsidR="005013FC" w:rsidRPr="00C121BA" w:rsidRDefault="005013FC" w:rsidP="24173B80">
            <w:pPr>
              <w:tabs>
                <w:tab w:val="left" w:pos="720"/>
                <w:tab w:val="left" w:pos="1440"/>
                <w:tab w:val="left" w:pos="2070"/>
                <w:tab w:val="left" w:pos="2160"/>
              </w:tabs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Teleconference</w:t>
            </w:r>
          </w:p>
        </w:tc>
        <w:tc>
          <w:tcPr>
            <w:tcW w:w="1701" w:type="dxa"/>
          </w:tcPr>
          <w:p w14:paraId="0485B94A" w14:textId="77777777" w:rsidR="00DA3CB6" w:rsidRPr="00C121BA" w:rsidRDefault="0014229A" w:rsidP="24173B80">
            <w:pPr>
              <w:rPr>
                <w:rFonts w:cs="Arial"/>
                <w:lang w:val="en-GB"/>
              </w:rPr>
            </w:pPr>
            <w:r>
              <w:rPr>
                <w:rFonts w:cs="Arial"/>
                <w:b/>
                <w:lang w:val="en-GB"/>
              </w:rPr>
              <w:t>Ofgem Offices London</w:t>
            </w:r>
          </w:p>
        </w:tc>
        <w:tc>
          <w:tcPr>
            <w:tcW w:w="288" w:type="dxa"/>
          </w:tcPr>
          <w:p w14:paraId="1921F6AB" w14:textId="77777777" w:rsidR="00DA3CB6" w:rsidRPr="00C121BA" w:rsidRDefault="00DA3CB6" w:rsidP="24173B80">
            <w:pPr>
              <w:rPr>
                <w:rFonts w:cs="Arial"/>
                <w:lang w:val="en-GB"/>
              </w:rPr>
            </w:pPr>
          </w:p>
        </w:tc>
        <w:tc>
          <w:tcPr>
            <w:tcW w:w="2921" w:type="dxa"/>
          </w:tcPr>
          <w:p w14:paraId="4700CD18" w14:textId="77777777" w:rsidR="00DA3CB6" w:rsidRPr="00C121BA" w:rsidRDefault="00DA3CB6" w:rsidP="24173B80">
            <w:pPr>
              <w:tabs>
                <w:tab w:val="left" w:pos="720"/>
                <w:tab w:val="left" w:pos="1440"/>
                <w:tab w:val="left" w:pos="2070"/>
                <w:tab w:val="left" w:pos="2160"/>
              </w:tabs>
              <w:rPr>
                <w:rFonts w:cs="Arial"/>
                <w:lang w:val="en-GB"/>
              </w:rPr>
            </w:pPr>
          </w:p>
        </w:tc>
        <w:tc>
          <w:tcPr>
            <w:tcW w:w="246" w:type="dxa"/>
          </w:tcPr>
          <w:p w14:paraId="04C8FCCC" w14:textId="77777777" w:rsidR="00DA3CB6" w:rsidRPr="00C121BA" w:rsidRDefault="00DA3CB6" w:rsidP="24173B80">
            <w:pPr>
              <w:rPr>
                <w:rFonts w:cs="Arial"/>
                <w:lang w:val="en-GB"/>
              </w:rPr>
            </w:pPr>
          </w:p>
        </w:tc>
        <w:tc>
          <w:tcPr>
            <w:tcW w:w="1432" w:type="dxa"/>
          </w:tcPr>
          <w:p w14:paraId="2D96C0E1" w14:textId="77777777" w:rsidR="00DA3CB6" w:rsidRPr="00C121BA" w:rsidRDefault="00DA3CB6" w:rsidP="24173B80">
            <w:pPr>
              <w:rPr>
                <w:rFonts w:cs="Arial"/>
                <w:lang w:val="en-GB"/>
              </w:rPr>
            </w:pPr>
          </w:p>
        </w:tc>
        <w:tc>
          <w:tcPr>
            <w:tcW w:w="737" w:type="dxa"/>
          </w:tcPr>
          <w:p w14:paraId="0B723602" w14:textId="77777777" w:rsidR="00DA3CB6" w:rsidRPr="00C121BA" w:rsidRDefault="00DA3CB6" w:rsidP="24173B80">
            <w:pPr>
              <w:rPr>
                <w:rFonts w:cs="Arial"/>
                <w:lang w:val="en-GB"/>
              </w:rPr>
            </w:pPr>
          </w:p>
        </w:tc>
        <w:bookmarkStart w:id="1" w:name="_GoBack"/>
        <w:bookmarkEnd w:id="1"/>
      </w:tr>
    </w:tbl>
    <w:p w14:paraId="7504A64F" w14:textId="77777777" w:rsidR="00DA3CB6" w:rsidRPr="00C121BA" w:rsidRDefault="00DA3CB6" w:rsidP="24173B80">
      <w:pPr>
        <w:pStyle w:val="Heading2"/>
        <w:rPr>
          <w:sz w:val="20"/>
          <w:szCs w:val="20"/>
          <w:lang w:val="en-GB"/>
        </w:rPr>
      </w:pPr>
      <w:r w:rsidRPr="00CD603B">
        <w:rPr>
          <w:sz w:val="20"/>
          <w:szCs w:val="20"/>
          <w:lang w:val="en-GB"/>
        </w:rPr>
        <w:t>ACTIONS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"/>
        <w:gridCol w:w="839"/>
        <w:gridCol w:w="982"/>
        <w:gridCol w:w="1259"/>
        <w:gridCol w:w="817"/>
        <w:gridCol w:w="2750"/>
        <w:gridCol w:w="1396"/>
      </w:tblGrid>
      <w:tr w:rsidR="00865F8C" w:rsidRPr="00C121BA" w14:paraId="74064A47" w14:textId="77777777" w:rsidTr="00865F8C">
        <w:trPr>
          <w:trHeight w:hRule="exact" w:val="600"/>
        </w:trPr>
        <w:tc>
          <w:tcPr>
            <w:tcW w:w="9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6D28DF" w14:textId="77777777" w:rsidR="00DA3CB6" w:rsidRPr="00C121BA" w:rsidRDefault="00DA3CB6" w:rsidP="24173B80">
            <w:pPr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 w:rsidRPr="00C121BA">
              <w:rPr>
                <w:rFonts w:cs="Arial"/>
                <w:b/>
                <w:sz w:val="20"/>
                <w:szCs w:val="20"/>
                <w:lang w:val="en-GB"/>
              </w:rPr>
              <w:t>Meeting No.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C5DCBC" w14:textId="77777777" w:rsidR="00DA3CB6" w:rsidRPr="00C121BA" w:rsidRDefault="00DA3CB6" w:rsidP="24173B80">
            <w:pPr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 w:rsidRPr="00C121BA">
              <w:rPr>
                <w:rFonts w:cs="Arial"/>
                <w:b/>
                <w:sz w:val="20"/>
                <w:szCs w:val="20"/>
                <w:lang w:val="en-GB"/>
              </w:rPr>
              <w:t>Action No.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B1FD73" w14:textId="77777777" w:rsidR="00DA3CB6" w:rsidRPr="00C121BA" w:rsidRDefault="00DA3CB6" w:rsidP="24173B80">
            <w:pPr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 w:rsidRPr="00C121BA">
              <w:rPr>
                <w:rFonts w:cs="Arial"/>
                <w:b/>
                <w:sz w:val="20"/>
                <w:szCs w:val="20"/>
                <w:lang w:val="en-GB"/>
              </w:rPr>
              <w:t>Date Raised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5506DD" w14:textId="77777777" w:rsidR="00DA3CB6" w:rsidRPr="00C121BA" w:rsidRDefault="00DA3CB6" w:rsidP="24173B80">
            <w:pPr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 w:rsidRPr="00C121BA">
              <w:rPr>
                <w:rFonts w:cs="Arial"/>
                <w:b/>
                <w:sz w:val="20"/>
                <w:szCs w:val="20"/>
                <w:lang w:val="en-GB"/>
              </w:rPr>
              <w:t>Target Date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F4F6D9" w14:textId="77777777" w:rsidR="00DA3CB6" w:rsidRPr="00C121BA" w:rsidRDefault="00DA3CB6" w:rsidP="24173B80">
            <w:pPr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 w:rsidRPr="00C121BA">
              <w:rPr>
                <w:rFonts w:cs="Arial"/>
                <w:b/>
                <w:sz w:val="20"/>
                <w:szCs w:val="20"/>
                <w:lang w:val="en-GB"/>
              </w:rPr>
              <w:t>Resp.</w:t>
            </w:r>
          </w:p>
        </w:tc>
        <w:tc>
          <w:tcPr>
            <w:tcW w:w="27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AE9CE6" w14:textId="77777777" w:rsidR="00DA3CB6" w:rsidRPr="00C121BA" w:rsidRDefault="00DA3CB6" w:rsidP="24173B80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r w:rsidRPr="00C121BA">
              <w:rPr>
                <w:rFonts w:cs="Arial"/>
                <w:b/>
                <w:sz w:val="20"/>
                <w:szCs w:val="20"/>
                <w:lang w:val="en-GB"/>
              </w:rPr>
              <w:t>Description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C61AFE" w14:textId="77777777" w:rsidR="00DA3CB6" w:rsidRPr="00C121BA" w:rsidRDefault="00DA3CB6" w:rsidP="24173B80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r w:rsidRPr="00C121BA">
              <w:rPr>
                <w:rFonts w:cs="Arial"/>
                <w:b/>
                <w:sz w:val="20"/>
                <w:szCs w:val="20"/>
                <w:lang w:val="en-GB"/>
              </w:rPr>
              <w:t>Status</w:t>
            </w:r>
          </w:p>
        </w:tc>
      </w:tr>
      <w:tr w:rsidR="00486CB0" w:rsidRPr="00C121BA" w14:paraId="267A86C8" w14:textId="77777777" w:rsidTr="008A4B7B">
        <w:trPr>
          <w:trHeight w:hRule="exact" w:val="1286"/>
        </w:trPr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5C74FD" w14:textId="77777777" w:rsidR="00486CB0" w:rsidRDefault="1D17A1BE" w:rsidP="1D17A1BE">
            <w:pPr>
              <w:jc w:val="center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1D17A1BE">
              <w:rPr>
                <w:rFonts w:cs="Arial"/>
                <w:b/>
                <w:bCs/>
                <w:sz w:val="20"/>
                <w:szCs w:val="20"/>
                <w:lang w:val="en-GB"/>
              </w:rPr>
              <w:t>1</w:t>
            </w:r>
            <w:r w:rsidR="00C717D6">
              <w:rPr>
                <w:rFonts w:cs="Arial"/>
                <w:b/>
                <w:bCs/>
                <w:sz w:val="20"/>
                <w:szCs w:val="20"/>
                <w:lang w:val="en-GB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0D6AA" w14:textId="77777777" w:rsidR="00486CB0" w:rsidRDefault="006715FB" w:rsidP="1D17A1BE">
            <w:pPr>
              <w:jc w:val="center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GB"/>
              </w:rPr>
              <w:t>4</w:t>
            </w:r>
            <w:r w:rsidR="00C717D6">
              <w:rPr>
                <w:rFonts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81FE8" w14:textId="77777777" w:rsidR="00486CB0" w:rsidRDefault="00C717D6" w:rsidP="1D17A1BE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6</w:t>
            </w:r>
            <w:r w:rsidRPr="00C717D6">
              <w:rPr>
                <w:rFonts w:cs="Arial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cs="Arial"/>
                <w:sz w:val="20"/>
                <w:szCs w:val="20"/>
                <w:lang w:val="en-GB"/>
              </w:rPr>
              <w:t xml:space="preserve"> Nov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2CF38E" w14:textId="77777777" w:rsidR="00486CB0" w:rsidRDefault="00605045" w:rsidP="1D17A1BE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8</w:t>
            </w:r>
            <w:r w:rsidRPr="00605045">
              <w:rPr>
                <w:rFonts w:cs="Arial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cs="Arial"/>
                <w:sz w:val="20"/>
                <w:szCs w:val="20"/>
                <w:lang w:val="en-GB"/>
              </w:rPr>
              <w:t xml:space="preserve"> Nov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8541F" w14:textId="77777777" w:rsidR="00486CB0" w:rsidRDefault="00605045" w:rsidP="002355A5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ESO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0FF251" w14:textId="77777777" w:rsidR="00486CB0" w:rsidRPr="002355A5" w:rsidRDefault="00605045" w:rsidP="00E66A24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List of panel attendees and dietary requirements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CFEB16" w14:textId="77777777" w:rsidR="00486CB0" w:rsidRPr="00CD603B" w:rsidRDefault="00144DA9" w:rsidP="008A4B7B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Closed</w:t>
            </w:r>
          </w:p>
        </w:tc>
      </w:tr>
      <w:tr w:rsidR="1D17A1BE" w14:paraId="5D76DFA5" w14:textId="77777777" w:rsidTr="008A4B7B">
        <w:trPr>
          <w:trHeight w:val="1286"/>
        </w:trPr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916DB0" w14:textId="77777777" w:rsidR="1D17A1BE" w:rsidRDefault="1D17A1BE" w:rsidP="1D17A1BE">
            <w:pPr>
              <w:jc w:val="center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1D17A1BE">
              <w:rPr>
                <w:rFonts w:cs="Arial"/>
                <w:b/>
                <w:bCs/>
                <w:sz w:val="20"/>
                <w:szCs w:val="20"/>
                <w:lang w:val="en-GB"/>
              </w:rPr>
              <w:t>1</w:t>
            </w:r>
            <w:r w:rsidR="00C717D6">
              <w:rPr>
                <w:rFonts w:cs="Arial"/>
                <w:b/>
                <w:bCs/>
                <w:sz w:val="20"/>
                <w:szCs w:val="20"/>
                <w:lang w:val="en-GB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9DA44" w14:textId="77777777" w:rsidR="1D17A1BE" w:rsidRDefault="006715FB" w:rsidP="1D17A1BE">
            <w:pPr>
              <w:jc w:val="center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GB"/>
              </w:rPr>
              <w:t>4</w:t>
            </w:r>
            <w:r w:rsidR="00C717D6">
              <w:rPr>
                <w:rFonts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76109" w14:textId="77777777" w:rsidR="1D17A1BE" w:rsidRDefault="00C717D6" w:rsidP="1D17A1BE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6</w:t>
            </w:r>
            <w:r w:rsidRPr="00C717D6">
              <w:rPr>
                <w:rFonts w:cs="Arial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cs="Arial"/>
                <w:sz w:val="20"/>
                <w:szCs w:val="20"/>
                <w:lang w:val="en-GB"/>
              </w:rPr>
              <w:t xml:space="preserve"> Nov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425355" w14:textId="77777777" w:rsidR="1D17A1BE" w:rsidRDefault="00605045" w:rsidP="1D17A1BE">
            <w:pPr>
              <w:jc w:val="center"/>
            </w:pPr>
            <w:r w:rsidRPr="00B315B0">
              <w:rPr>
                <w:rFonts w:cs="Arial"/>
                <w:sz w:val="20"/>
                <w:szCs w:val="20"/>
                <w:lang w:val="en-GB"/>
              </w:rPr>
              <w:t>11</w:t>
            </w:r>
            <w:r w:rsidRPr="00F47D55">
              <w:rPr>
                <w:rFonts w:cs="Arial"/>
                <w:sz w:val="20"/>
                <w:szCs w:val="20"/>
                <w:vertAlign w:val="superscript"/>
                <w:lang w:val="en-GB"/>
              </w:rPr>
              <w:t>th</w:t>
            </w:r>
            <w:r w:rsidR="00F47D55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Pr="00B315B0">
              <w:rPr>
                <w:rFonts w:cs="Arial"/>
                <w:sz w:val="20"/>
                <w:szCs w:val="20"/>
                <w:lang w:val="en-GB"/>
              </w:rPr>
              <w:t>Nov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83E582" w14:textId="77777777" w:rsidR="1D17A1BE" w:rsidRDefault="00605045" w:rsidP="1D17A1BE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ESO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868FF" w14:textId="77777777" w:rsidR="1D17A1BE" w:rsidRPr="002355A5" w:rsidRDefault="00605045" w:rsidP="1D17A1BE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ESO to send </w:t>
            </w:r>
            <w:r w:rsidR="00F62AF1">
              <w:rPr>
                <w:color w:val="000000" w:themeColor="text1"/>
                <w:sz w:val="20"/>
                <w:szCs w:val="20"/>
                <w:lang w:val="en-GB"/>
              </w:rPr>
              <w:t xml:space="preserve">responses </w:t>
            </w:r>
            <w:r w:rsidR="005305ED">
              <w:rPr>
                <w:color w:val="000000" w:themeColor="text1"/>
                <w:sz w:val="20"/>
                <w:szCs w:val="20"/>
                <w:lang w:val="en-GB"/>
              </w:rPr>
              <w:t>for</w:t>
            </w:r>
            <w:r w:rsidR="00F62AF1">
              <w:rPr>
                <w:color w:val="000000" w:themeColor="text1"/>
                <w:sz w:val="20"/>
                <w:szCs w:val="20"/>
                <w:lang w:val="en-GB"/>
              </w:rPr>
              <w:t xml:space="preserve"> Ofgem and Panel questions</w:t>
            </w:r>
            <w:r w:rsidR="007149C1">
              <w:rPr>
                <w:color w:val="000000" w:themeColor="text1"/>
                <w:sz w:val="20"/>
                <w:szCs w:val="20"/>
                <w:lang w:val="en-GB"/>
              </w:rPr>
              <w:t xml:space="preserve"> for </w:t>
            </w:r>
            <w:proofErr w:type="spellStart"/>
            <w:r w:rsidR="007149C1">
              <w:rPr>
                <w:color w:val="000000" w:themeColor="text1"/>
                <w:sz w:val="20"/>
                <w:szCs w:val="20"/>
                <w:lang w:val="en-GB"/>
              </w:rPr>
              <w:t>mid year</w:t>
            </w:r>
            <w:proofErr w:type="spellEnd"/>
            <w:r w:rsidR="007149C1">
              <w:rPr>
                <w:color w:val="000000" w:themeColor="text1"/>
                <w:sz w:val="20"/>
                <w:szCs w:val="20"/>
                <w:lang w:val="en-GB"/>
              </w:rPr>
              <w:t xml:space="preserve"> report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B0BE06" w14:textId="77777777" w:rsidR="1D17A1BE" w:rsidRDefault="00F47D55" w:rsidP="008A4B7B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Closed</w:t>
            </w:r>
            <w:r w:rsidR="005305ED">
              <w:rPr>
                <w:rFonts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865F8C" w14:paraId="36B9315A" w14:textId="77777777" w:rsidTr="008A4B7B">
        <w:trPr>
          <w:trHeight w:val="1286"/>
        </w:trPr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E9356" w14:textId="77777777" w:rsidR="00865F8C" w:rsidRPr="1D17A1BE" w:rsidRDefault="00865F8C" w:rsidP="00865F8C">
            <w:pPr>
              <w:jc w:val="center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GB"/>
              </w:rPr>
              <w:t>1</w:t>
            </w:r>
            <w:r w:rsidR="00C717D6">
              <w:rPr>
                <w:rFonts w:cs="Arial"/>
                <w:b/>
                <w:bCs/>
                <w:sz w:val="20"/>
                <w:szCs w:val="20"/>
                <w:lang w:val="en-GB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170E48" w14:textId="77777777" w:rsidR="00865F8C" w:rsidRPr="1D17A1BE" w:rsidDel="006715FB" w:rsidRDefault="00865F8C" w:rsidP="00865F8C">
            <w:pPr>
              <w:jc w:val="center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GB"/>
              </w:rPr>
              <w:t>4</w:t>
            </w:r>
            <w:r w:rsidR="00C717D6">
              <w:rPr>
                <w:rFonts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8B90EF" w14:textId="77777777" w:rsidR="00865F8C" w:rsidRPr="1D17A1BE" w:rsidDel="006715FB" w:rsidRDefault="00C717D6" w:rsidP="00865F8C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6</w:t>
            </w:r>
            <w:r w:rsidRPr="00C717D6">
              <w:rPr>
                <w:rFonts w:cs="Arial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cs="Arial"/>
                <w:sz w:val="20"/>
                <w:szCs w:val="20"/>
                <w:lang w:val="en-GB"/>
              </w:rPr>
              <w:t xml:space="preserve"> Nov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44042E" w14:textId="77777777" w:rsidR="00865F8C" w:rsidRDefault="00F47D55" w:rsidP="00865F8C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Early Dec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12D02" w14:textId="77777777" w:rsidR="00865F8C" w:rsidRPr="1D17A1BE" w:rsidRDefault="00865F8C" w:rsidP="00865F8C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Ofgem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086677" w14:textId="77777777" w:rsidR="00865F8C" w:rsidRPr="00865F8C" w:rsidRDefault="00F47D55" w:rsidP="00865F8C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Ofgem to send draft of panel report and advise when final report is published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FBAAC" w14:textId="77777777" w:rsidR="00865F8C" w:rsidRPr="1D17A1BE" w:rsidDel="00DD15B4" w:rsidRDefault="00F47D55" w:rsidP="008A4B7B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Open</w:t>
            </w:r>
          </w:p>
        </w:tc>
      </w:tr>
    </w:tbl>
    <w:p w14:paraId="79A70D81" w14:textId="77777777" w:rsidR="00377D4F" w:rsidRDefault="00865F8C">
      <w:r>
        <w:t xml:space="preserve"> </w:t>
      </w:r>
    </w:p>
    <w:p w14:paraId="18BDF677" w14:textId="77777777" w:rsidR="00DA3CB6" w:rsidRPr="00C121BA" w:rsidRDefault="00DA3CB6" w:rsidP="24173B80">
      <w:pPr>
        <w:rPr>
          <w:rFonts w:cs="Arial"/>
          <w:b/>
          <w:sz w:val="20"/>
          <w:szCs w:val="20"/>
          <w:lang w:val="en-GB"/>
        </w:rPr>
      </w:pPr>
      <w:r w:rsidRPr="00C121BA">
        <w:rPr>
          <w:rFonts w:cs="Arial"/>
          <w:b/>
          <w:sz w:val="20"/>
          <w:szCs w:val="20"/>
          <w:lang w:val="en-GB"/>
        </w:rPr>
        <w:t>MAIN ITEMS OF INTEREST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95"/>
      </w:tblGrid>
      <w:tr w:rsidR="00B91F08" w:rsidRPr="00C121BA" w14:paraId="3B9815C6" w14:textId="77777777" w:rsidTr="31CA2D1A">
        <w:tc>
          <w:tcPr>
            <w:tcW w:w="8995" w:type="dxa"/>
            <w:shd w:val="clear" w:color="auto" w:fill="auto"/>
          </w:tcPr>
          <w:p w14:paraId="4AA4FC96" w14:textId="77777777" w:rsidR="00056B46" w:rsidRDefault="00056B46" w:rsidP="002355A5">
            <w:pPr>
              <w:pStyle w:val="ListParagraph"/>
              <w:ind w:left="360"/>
              <w:rPr>
                <w:b/>
                <w:color w:val="000000"/>
                <w:lang w:eastAsia="en-AU"/>
              </w:rPr>
            </w:pPr>
          </w:p>
          <w:p w14:paraId="367AD9AA" w14:textId="77777777" w:rsidR="00056B46" w:rsidRDefault="00056B46" w:rsidP="00056B46">
            <w:pPr>
              <w:pStyle w:val="ListParagraph"/>
              <w:numPr>
                <w:ilvl w:val="0"/>
                <w:numId w:val="2"/>
              </w:numPr>
              <w:rPr>
                <w:b/>
                <w:color w:val="000000"/>
                <w:lang w:eastAsia="en-AU"/>
              </w:rPr>
            </w:pPr>
            <w:r>
              <w:rPr>
                <w:b/>
                <w:color w:val="000000"/>
                <w:lang w:eastAsia="en-AU"/>
              </w:rPr>
              <w:t xml:space="preserve">SME slot – </w:t>
            </w:r>
            <w:r w:rsidR="0012590A">
              <w:rPr>
                <w:b/>
                <w:color w:val="000000"/>
                <w:lang w:eastAsia="en-AU"/>
              </w:rPr>
              <w:t>September</w:t>
            </w:r>
            <w:r>
              <w:rPr>
                <w:b/>
                <w:color w:val="000000"/>
                <w:lang w:eastAsia="en-AU"/>
              </w:rPr>
              <w:t xml:space="preserve"> Balancing costs</w:t>
            </w:r>
          </w:p>
          <w:p w14:paraId="21FD1A10" w14:textId="77777777" w:rsidR="00056B46" w:rsidRDefault="00056B46" w:rsidP="00056B46">
            <w:pPr>
              <w:pStyle w:val="ListParagraph"/>
              <w:ind w:left="360"/>
              <w:rPr>
                <w:b/>
                <w:color w:val="000000"/>
                <w:lang w:eastAsia="en-AU"/>
              </w:rPr>
            </w:pPr>
          </w:p>
          <w:p w14:paraId="05DDA059" w14:textId="77777777" w:rsidR="00F922EF" w:rsidRDefault="00176E92" w:rsidP="00056B46">
            <w:pPr>
              <w:pStyle w:val="ListParagraph"/>
              <w:ind w:left="360"/>
              <w:rPr>
                <w:color w:val="000000" w:themeColor="text1"/>
                <w:lang w:eastAsia="en-AU"/>
              </w:rPr>
            </w:pPr>
            <w:r w:rsidRPr="00176E92">
              <w:rPr>
                <w:color w:val="000000" w:themeColor="text1"/>
                <w:lang w:eastAsia="en-AU"/>
              </w:rPr>
              <w:t xml:space="preserve">The </w:t>
            </w:r>
            <w:r w:rsidR="00C30F82">
              <w:rPr>
                <w:color w:val="000000" w:themeColor="text1"/>
                <w:lang w:eastAsia="en-AU"/>
              </w:rPr>
              <w:t>Electricity</w:t>
            </w:r>
            <w:r w:rsidR="008832EE">
              <w:rPr>
                <w:color w:val="000000" w:themeColor="text1"/>
                <w:lang w:eastAsia="en-AU"/>
              </w:rPr>
              <w:t xml:space="preserve"> System Operator (</w:t>
            </w:r>
            <w:r w:rsidRPr="00176E92">
              <w:rPr>
                <w:color w:val="000000" w:themeColor="text1"/>
                <w:lang w:eastAsia="en-AU"/>
              </w:rPr>
              <w:t>ESO</w:t>
            </w:r>
            <w:r w:rsidR="008832EE">
              <w:rPr>
                <w:color w:val="000000" w:themeColor="text1"/>
                <w:lang w:eastAsia="en-AU"/>
              </w:rPr>
              <w:t>)</w:t>
            </w:r>
            <w:r w:rsidRPr="00176E92">
              <w:rPr>
                <w:color w:val="000000" w:themeColor="text1"/>
                <w:lang w:eastAsia="en-AU"/>
              </w:rPr>
              <w:t xml:space="preserve"> presenter</w:t>
            </w:r>
            <w:r w:rsidR="00EA40A1">
              <w:rPr>
                <w:color w:val="000000" w:themeColor="text1"/>
                <w:lang w:eastAsia="en-AU"/>
              </w:rPr>
              <w:t xml:space="preserve"> </w:t>
            </w:r>
            <w:r w:rsidR="001D7903">
              <w:rPr>
                <w:color w:val="000000" w:themeColor="text1"/>
                <w:lang w:eastAsia="en-AU"/>
              </w:rPr>
              <w:t xml:space="preserve">gave commentary on the </w:t>
            </w:r>
            <w:r w:rsidR="001D7903" w:rsidRPr="001D7903">
              <w:rPr>
                <w:color w:val="000000" w:themeColor="text1"/>
                <w:lang w:eastAsia="en-AU"/>
              </w:rPr>
              <w:t>£</w:t>
            </w:r>
            <w:r w:rsidR="004A1FDC">
              <w:rPr>
                <w:color w:val="000000" w:themeColor="text1"/>
                <w:lang w:eastAsia="en-AU"/>
              </w:rPr>
              <w:t>108</w:t>
            </w:r>
            <w:r w:rsidR="001D7903" w:rsidRPr="001D7903">
              <w:rPr>
                <w:color w:val="000000" w:themeColor="text1"/>
                <w:lang w:eastAsia="en-AU"/>
              </w:rPr>
              <w:t>m outturn against £</w:t>
            </w:r>
            <w:r w:rsidR="00AC1A4D">
              <w:rPr>
                <w:color w:val="000000" w:themeColor="text1"/>
                <w:lang w:eastAsia="en-AU"/>
              </w:rPr>
              <w:t>97.6</w:t>
            </w:r>
            <w:r w:rsidR="001D7903" w:rsidRPr="001D7903">
              <w:rPr>
                <w:color w:val="000000" w:themeColor="text1"/>
                <w:lang w:eastAsia="en-AU"/>
              </w:rPr>
              <w:t>m benchmark</w:t>
            </w:r>
            <w:r w:rsidR="001D7903">
              <w:rPr>
                <w:color w:val="000000" w:themeColor="text1"/>
                <w:lang w:eastAsia="en-AU"/>
              </w:rPr>
              <w:t>.</w:t>
            </w:r>
          </w:p>
          <w:p w14:paraId="225D2337" w14:textId="77777777" w:rsidR="004165FB" w:rsidRDefault="004165FB" w:rsidP="00056B46">
            <w:pPr>
              <w:pStyle w:val="ListParagraph"/>
              <w:ind w:left="360"/>
              <w:rPr>
                <w:color w:val="000000" w:themeColor="text1"/>
                <w:lang w:eastAsia="en-AU"/>
              </w:rPr>
            </w:pPr>
          </w:p>
          <w:p w14:paraId="6A1CC740" w14:textId="77777777" w:rsidR="006644EA" w:rsidRDefault="00C311E6" w:rsidP="00056B46">
            <w:pPr>
              <w:pStyle w:val="ListParagraph"/>
              <w:ind w:left="360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Key points: </w:t>
            </w:r>
          </w:p>
          <w:p w14:paraId="6D14CD05" w14:textId="77777777" w:rsidR="008F2C95" w:rsidRDefault="00DA6049" w:rsidP="00F954E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lang w:eastAsia="en-AU"/>
              </w:rPr>
            </w:pPr>
            <w:r w:rsidRPr="00DA6049">
              <w:rPr>
                <w:color w:val="000000" w:themeColor="text1"/>
                <w:lang w:eastAsia="en-AU"/>
              </w:rPr>
              <w:t xml:space="preserve">Costs have increased across all categories except </w:t>
            </w:r>
            <w:proofErr w:type="spellStart"/>
            <w:r w:rsidR="00345F5F">
              <w:rPr>
                <w:color w:val="000000" w:themeColor="text1"/>
                <w:lang w:eastAsia="en-AU"/>
              </w:rPr>
              <w:t>RoCoF</w:t>
            </w:r>
            <w:proofErr w:type="spellEnd"/>
            <w:r w:rsidR="006644EA">
              <w:rPr>
                <w:color w:val="000000" w:themeColor="text1"/>
                <w:lang w:eastAsia="en-AU"/>
              </w:rPr>
              <w:t>.</w:t>
            </w:r>
          </w:p>
          <w:p w14:paraId="520A32CD" w14:textId="77777777" w:rsidR="008A7017" w:rsidRDefault="00B368DC" w:rsidP="00F954E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Higher volume saw </w:t>
            </w:r>
            <w:proofErr w:type="spellStart"/>
            <w:r>
              <w:rPr>
                <w:color w:val="000000" w:themeColor="text1"/>
                <w:lang w:eastAsia="en-AU"/>
              </w:rPr>
              <w:t>BSUoS</w:t>
            </w:r>
            <w:proofErr w:type="spellEnd"/>
            <w:r>
              <w:rPr>
                <w:color w:val="000000" w:themeColor="text1"/>
                <w:lang w:eastAsia="en-AU"/>
              </w:rPr>
              <w:t xml:space="preserve"> costs remain the same.</w:t>
            </w:r>
          </w:p>
          <w:p w14:paraId="6C4BB138" w14:textId="57104BED" w:rsidR="00F954E3" w:rsidRPr="00A0338F" w:rsidRDefault="008F2C95" w:rsidP="00A5642B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lang w:eastAsia="en-AU"/>
              </w:rPr>
            </w:pPr>
            <w:r w:rsidRPr="00A0338F">
              <w:rPr>
                <w:color w:val="000000" w:themeColor="text1"/>
                <w:lang w:eastAsia="en-AU"/>
              </w:rPr>
              <w:t xml:space="preserve">Scottish </w:t>
            </w:r>
            <w:r w:rsidR="00F954E3" w:rsidRPr="00A0338F">
              <w:rPr>
                <w:color w:val="000000" w:themeColor="text1"/>
                <w:lang w:eastAsia="en-AU"/>
              </w:rPr>
              <w:t>w</w:t>
            </w:r>
            <w:r w:rsidRPr="00A0338F">
              <w:rPr>
                <w:color w:val="000000" w:themeColor="text1"/>
                <w:lang w:eastAsia="en-AU"/>
              </w:rPr>
              <w:t xml:space="preserve">ind output was higher in </w:t>
            </w:r>
            <w:r w:rsidR="006945B6" w:rsidRPr="00A0338F">
              <w:rPr>
                <w:color w:val="000000" w:themeColor="text1"/>
                <w:lang w:eastAsia="en-AU"/>
              </w:rPr>
              <w:t>September</w:t>
            </w:r>
            <w:r w:rsidR="00ED1D09" w:rsidRPr="00A0338F">
              <w:rPr>
                <w:color w:val="000000" w:themeColor="text1"/>
                <w:lang w:eastAsia="en-AU"/>
              </w:rPr>
              <w:t xml:space="preserve"> than August</w:t>
            </w:r>
            <w:r w:rsidRPr="00A0338F">
              <w:rPr>
                <w:color w:val="000000" w:themeColor="text1"/>
                <w:lang w:eastAsia="en-AU"/>
              </w:rPr>
              <w:t>. H</w:t>
            </w:r>
            <w:r w:rsidR="00D87008" w:rsidRPr="00A0338F">
              <w:rPr>
                <w:color w:val="000000" w:themeColor="text1"/>
                <w:lang w:eastAsia="en-AU"/>
              </w:rPr>
              <w:t>igh levels of wind meant a large number of actions were required to deal with</w:t>
            </w:r>
            <w:r w:rsidR="008832EE" w:rsidRPr="00A0338F">
              <w:rPr>
                <w:color w:val="000000" w:themeColor="text1"/>
                <w:lang w:val="en-AU" w:eastAsia="en-AU"/>
              </w:rPr>
              <w:t xml:space="preserve"> rate of change of frequency</w:t>
            </w:r>
            <w:r w:rsidR="004A04DE" w:rsidRPr="00A0338F">
              <w:rPr>
                <w:color w:val="000000" w:themeColor="text1"/>
                <w:lang w:val="en-AU" w:eastAsia="en-AU"/>
              </w:rPr>
              <w:t>,</w:t>
            </w:r>
            <w:r w:rsidR="00D87008" w:rsidRPr="00A0338F">
              <w:rPr>
                <w:color w:val="000000" w:themeColor="text1"/>
                <w:lang w:eastAsia="en-AU"/>
              </w:rPr>
              <w:t xml:space="preserve"> voltage levels and thermal constraints</w:t>
            </w:r>
            <w:r w:rsidR="00D55EA4" w:rsidRPr="00A0338F">
              <w:rPr>
                <w:color w:val="000000" w:themeColor="text1"/>
                <w:lang w:eastAsia="en-AU"/>
              </w:rPr>
              <w:t>.</w:t>
            </w:r>
            <w:r w:rsidR="00F938FA" w:rsidRPr="00A0338F">
              <w:rPr>
                <w:color w:val="000000" w:themeColor="text1"/>
                <w:lang w:eastAsia="en-AU"/>
              </w:rPr>
              <w:t xml:space="preserve"> </w:t>
            </w:r>
            <w:r w:rsidR="009059F8">
              <w:rPr>
                <w:color w:val="000000" w:themeColor="text1"/>
                <w:lang w:eastAsia="en-AU"/>
              </w:rPr>
              <w:t>The volume of wind</w:t>
            </w:r>
            <w:r w:rsidR="009059F8" w:rsidRPr="00A0338F">
              <w:rPr>
                <w:color w:val="000000" w:themeColor="text1"/>
                <w:lang w:eastAsia="en-AU"/>
              </w:rPr>
              <w:t xml:space="preserve"> </w:t>
            </w:r>
            <w:r w:rsidR="007377BC" w:rsidRPr="00A0338F">
              <w:rPr>
                <w:color w:val="000000" w:themeColor="text1"/>
                <w:lang w:eastAsia="en-AU"/>
              </w:rPr>
              <w:t>generation</w:t>
            </w:r>
            <w:r w:rsidR="009059F8">
              <w:rPr>
                <w:color w:val="000000" w:themeColor="text1"/>
                <w:lang w:eastAsia="en-AU"/>
              </w:rPr>
              <w:t xml:space="preserve"> </w:t>
            </w:r>
            <w:r w:rsidR="009059F8" w:rsidRPr="00A0338F">
              <w:rPr>
                <w:color w:val="000000" w:themeColor="text1"/>
                <w:lang w:eastAsia="en-AU"/>
              </w:rPr>
              <w:t>continues to increase</w:t>
            </w:r>
            <w:r w:rsidR="009059F8">
              <w:rPr>
                <w:color w:val="000000" w:themeColor="text1"/>
                <w:lang w:eastAsia="en-AU"/>
              </w:rPr>
              <w:t>.</w:t>
            </w:r>
          </w:p>
          <w:p w14:paraId="2EDAADE0" w14:textId="77777777" w:rsidR="009A68F5" w:rsidRDefault="00AD3082" w:rsidP="00F954E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lastRenderedPageBreak/>
              <w:t>Traded v</w:t>
            </w:r>
            <w:r w:rsidR="00A00106">
              <w:rPr>
                <w:color w:val="000000" w:themeColor="text1"/>
                <w:lang w:eastAsia="en-AU"/>
              </w:rPr>
              <w:t xml:space="preserve">olumes on </w:t>
            </w:r>
            <w:r w:rsidR="00EA19FD">
              <w:rPr>
                <w:color w:val="000000" w:themeColor="text1"/>
                <w:lang w:eastAsia="en-AU"/>
              </w:rPr>
              <w:t>interconnectors</w:t>
            </w:r>
            <w:r w:rsidR="00A00106">
              <w:rPr>
                <w:color w:val="000000" w:themeColor="text1"/>
                <w:lang w:eastAsia="en-AU"/>
              </w:rPr>
              <w:t xml:space="preserve"> were high because of ongoing reinforcements in the South East which causes </w:t>
            </w:r>
            <w:r w:rsidR="00C27EB0">
              <w:rPr>
                <w:color w:val="000000" w:themeColor="text1"/>
                <w:lang w:eastAsia="en-AU"/>
              </w:rPr>
              <w:t>constraints in the area</w:t>
            </w:r>
            <w:r>
              <w:rPr>
                <w:color w:val="000000" w:themeColor="text1"/>
                <w:lang w:eastAsia="en-AU"/>
              </w:rPr>
              <w:t>, meaning that</w:t>
            </w:r>
            <w:r w:rsidR="00C27EB0">
              <w:rPr>
                <w:color w:val="000000" w:themeColor="text1"/>
                <w:lang w:eastAsia="en-AU"/>
              </w:rPr>
              <w:t xml:space="preserve"> </w:t>
            </w:r>
            <w:r w:rsidR="00A00106">
              <w:rPr>
                <w:color w:val="000000" w:themeColor="text1"/>
                <w:lang w:eastAsia="en-AU"/>
              </w:rPr>
              <w:t>additional trading</w:t>
            </w:r>
            <w:r w:rsidR="0099372B">
              <w:rPr>
                <w:color w:val="000000" w:themeColor="text1"/>
                <w:lang w:eastAsia="en-AU"/>
              </w:rPr>
              <w:t xml:space="preserve"> and </w:t>
            </w:r>
            <w:r>
              <w:rPr>
                <w:color w:val="000000" w:themeColor="text1"/>
                <w:lang w:eastAsia="en-AU"/>
              </w:rPr>
              <w:t xml:space="preserve">balancing </w:t>
            </w:r>
            <w:r w:rsidR="00C27EB0">
              <w:rPr>
                <w:color w:val="000000" w:themeColor="text1"/>
                <w:lang w:eastAsia="en-AU"/>
              </w:rPr>
              <w:t xml:space="preserve">actions </w:t>
            </w:r>
            <w:r w:rsidR="00DC4FED">
              <w:rPr>
                <w:color w:val="000000" w:themeColor="text1"/>
                <w:lang w:eastAsia="en-AU"/>
              </w:rPr>
              <w:t>were</w:t>
            </w:r>
            <w:r w:rsidR="00C27EB0">
              <w:rPr>
                <w:color w:val="000000" w:themeColor="text1"/>
                <w:lang w:eastAsia="en-AU"/>
              </w:rPr>
              <w:t xml:space="preserve"> required.</w:t>
            </w:r>
          </w:p>
          <w:p w14:paraId="164D4005" w14:textId="77777777" w:rsidR="00AB5D5E" w:rsidRDefault="00B22505" w:rsidP="00F954E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The</w:t>
            </w:r>
            <w:r w:rsidR="00C977EE">
              <w:rPr>
                <w:color w:val="000000" w:themeColor="text1"/>
                <w:lang w:eastAsia="en-AU"/>
              </w:rPr>
              <w:t xml:space="preserve"> high costs in </w:t>
            </w:r>
            <w:r>
              <w:rPr>
                <w:color w:val="000000" w:themeColor="text1"/>
                <w:lang w:eastAsia="en-AU"/>
              </w:rPr>
              <w:t xml:space="preserve">early </w:t>
            </w:r>
            <w:r w:rsidR="004A5FC2">
              <w:rPr>
                <w:color w:val="000000" w:themeColor="text1"/>
                <w:lang w:eastAsia="en-AU"/>
              </w:rPr>
              <w:t>September</w:t>
            </w:r>
            <w:r w:rsidR="00C977EE">
              <w:rPr>
                <w:color w:val="000000" w:themeColor="text1"/>
                <w:lang w:eastAsia="en-AU"/>
              </w:rPr>
              <w:t xml:space="preserve"> </w:t>
            </w:r>
            <w:r>
              <w:rPr>
                <w:color w:val="000000" w:themeColor="text1"/>
                <w:lang w:eastAsia="en-AU"/>
              </w:rPr>
              <w:t xml:space="preserve">were </w:t>
            </w:r>
            <w:r w:rsidR="00C977EE">
              <w:rPr>
                <w:color w:val="000000" w:themeColor="text1"/>
                <w:lang w:eastAsia="en-AU"/>
              </w:rPr>
              <w:t>due to Western Link restriction</w:t>
            </w:r>
            <w:r w:rsidR="004A5FC2">
              <w:rPr>
                <w:color w:val="000000" w:themeColor="text1"/>
                <w:lang w:eastAsia="en-AU"/>
              </w:rPr>
              <w:t>s</w:t>
            </w:r>
            <w:r w:rsidR="00555FC9">
              <w:rPr>
                <w:color w:val="000000" w:themeColor="text1"/>
                <w:lang w:eastAsia="en-AU"/>
              </w:rPr>
              <w:t xml:space="preserve"> </w:t>
            </w:r>
            <w:r w:rsidR="00FA54CE">
              <w:rPr>
                <w:color w:val="000000" w:themeColor="text1"/>
                <w:lang w:eastAsia="en-AU"/>
              </w:rPr>
              <w:t>and</w:t>
            </w:r>
            <w:r w:rsidR="00C57031">
              <w:rPr>
                <w:color w:val="000000" w:themeColor="text1"/>
                <w:lang w:eastAsia="en-AU"/>
              </w:rPr>
              <w:t xml:space="preserve"> high volume</w:t>
            </w:r>
            <w:r>
              <w:rPr>
                <w:color w:val="000000" w:themeColor="text1"/>
                <w:lang w:eastAsia="en-AU"/>
              </w:rPr>
              <w:t xml:space="preserve"> of Scottish</w:t>
            </w:r>
            <w:r w:rsidR="00C57031">
              <w:rPr>
                <w:color w:val="000000" w:themeColor="text1"/>
                <w:lang w:eastAsia="en-AU"/>
              </w:rPr>
              <w:t xml:space="preserve"> wind output </w:t>
            </w:r>
            <w:r w:rsidR="005A313B">
              <w:rPr>
                <w:color w:val="000000" w:themeColor="text1"/>
                <w:lang w:eastAsia="en-AU"/>
              </w:rPr>
              <w:t>wit</w:t>
            </w:r>
            <w:r>
              <w:rPr>
                <w:color w:val="000000" w:themeColor="text1"/>
                <w:lang w:eastAsia="en-AU"/>
              </w:rPr>
              <w:t>h</w:t>
            </w:r>
            <w:r w:rsidR="005A313B">
              <w:rPr>
                <w:color w:val="000000" w:themeColor="text1"/>
                <w:lang w:eastAsia="en-AU"/>
              </w:rPr>
              <w:t xml:space="preserve"> low demand over the weekend </w:t>
            </w:r>
            <w:r>
              <w:rPr>
                <w:color w:val="000000" w:themeColor="text1"/>
                <w:lang w:eastAsia="en-AU"/>
              </w:rPr>
              <w:t xml:space="preserve">which </w:t>
            </w:r>
            <w:r w:rsidR="00481C9D">
              <w:rPr>
                <w:color w:val="000000" w:themeColor="text1"/>
                <w:lang w:eastAsia="en-AU"/>
              </w:rPr>
              <w:t>required further actions to be taken</w:t>
            </w:r>
            <w:r>
              <w:rPr>
                <w:color w:val="000000" w:themeColor="text1"/>
                <w:lang w:eastAsia="en-AU"/>
              </w:rPr>
              <w:t>.</w:t>
            </w:r>
          </w:p>
          <w:p w14:paraId="2C9DCAE5" w14:textId="77777777" w:rsidR="009061DB" w:rsidRDefault="009061DB" w:rsidP="002355A5">
            <w:pPr>
              <w:pStyle w:val="ListParagraph"/>
              <w:ind w:left="360"/>
              <w:rPr>
                <w:bCs/>
                <w:color w:val="000000"/>
                <w:lang w:eastAsia="en-AU"/>
              </w:rPr>
            </w:pPr>
          </w:p>
          <w:p w14:paraId="3C7D8D2E" w14:textId="77777777" w:rsidR="00176E92" w:rsidRDefault="009061DB" w:rsidP="002355A5">
            <w:pPr>
              <w:pStyle w:val="ListParagraph"/>
              <w:ind w:left="360"/>
              <w:rPr>
                <w:bCs/>
                <w:color w:val="000000"/>
                <w:lang w:eastAsia="en-AU"/>
              </w:rPr>
            </w:pPr>
            <w:r w:rsidRPr="009061DB">
              <w:rPr>
                <w:bCs/>
                <w:color w:val="000000"/>
                <w:lang w:eastAsia="en-AU"/>
              </w:rPr>
              <w:t>Q</w:t>
            </w:r>
            <w:r w:rsidR="00337E85">
              <w:rPr>
                <w:bCs/>
                <w:color w:val="000000"/>
                <w:lang w:eastAsia="en-AU"/>
              </w:rPr>
              <w:t>1</w:t>
            </w:r>
            <w:r w:rsidRPr="009061DB">
              <w:rPr>
                <w:bCs/>
                <w:color w:val="000000"/>
                <w:lang w:eastAsia="en-AU"/>
              </w:rPr>
              <w:t>:</w:t>
            </w:r>
            <w:r>
              <w:rPr>
                <w:bCs/>
                <w:color w:val="000000"/>
                <w:lang w:eastAsia="en-AU"/>
              </w:rPr>
              <w:t xml:space="preserve"> </w:t>
            </w:r>
            <w:r w:rsidR="00D945CE">
              <w:rPr>
                <w:bCs/>
                <w:color w:val="000000"/>
                <w:lang w:eastAsia="en-AU"/>
              </w:rPr>
              <w:t xml:space="preserve">When are the South East reinforcement works </w:t>
            </w:r>
            <w:r w:rsidR="00337E85">
              <w:rPr>
                <w:bCs/>
                <w:color w:val="000000"/>
                <w:lang w:eastAsia="en-AU"/>
              </w:rPr>
              <w:t xml:space="preserve">meant </w:t>
            </w:r>
            <w:r w:rsidR="00D945CE">
              <w:rPr>
                <w:bCs/>
                <w:color w:val="000000"/>
                <w:lang w:eastAsia="en-AU"/>
              </w:rPr>
              <w:t>to be completed</w:t>
            </w:r>
            <w:r w:rsidR="00337E85">
              <w:rPr>
                <w:bCs/>
                <w:color w:val="000000"/>
                <w:lang w:eastAsia="en-AU"/>
              </w:rPr>
              <w:t>?</w:t>
            </w:r>
          </w:p>
          <w:p w14:paraId="379DFD52" w14:textId="77777777" w:rsidR="00337E85" w:rsidRDefault="00337E85" w:rsidP="002355A5">
            <w:pPr>
              <w:pStyle w:val="ListParagraph"/>
              <w:ind w:left="360"/>
              <w:rPr>
                <w:bCs/>
                <w:color w:val="000000"/>
                <w:lang w:eastAsia="en-AU"/>
              </w:rPr>
            </w:pPr>
          </w:p>
          <w:p w14:paraId="430C03F0" w14:textId="77777777" w:rsidR="00D945CE" w:rsidRDefault="00D945CE" w:rsidP="002355A5">
            <w:pPr>
              <w:pStyle w:val="ListParagraph"/>
              <w:ind w:left="360"/>
              <w:rPr>
                <w:bCs/>
                <w:color w:val="000000"/>
                <w:lang w:eastAsia="en-AU"/>
              </w:rPr>
            </w:pPr>
            <w:r>
              <w:rPr>
                <w:bCs/>
                <w:color w:val="000000"/>
                <w:lang w:eastAsia="en-AU"/>
              </w:rPr>
              <w:t>A</w:t>
            </w:r>
            <w:r w:rsidR="00337E85">
              <w:rPr>
                <w:bCs/>
                <w:color w:val="000000"/>
                <w:lang w:eastAsia="en-AU"/>
              </w:rPr>
              <w:t>1</w:t>
            </w:r>
            <w:r>
              <w:rPr>
                <w:bCs/>
                <w:color w:val="000000"/>
                <w:lang w:eastAsia="en-AU"/>
              </w:rPr>
              <w:t xml:space="preserve">: </w:t>
            </w:r>
            <w:r w:rsidR="001A6FAD">
              <w:rPr>
                <w:bCs/>
                <w:color w:val="000000"/>
                <w:lang w:eastAsia="en-AU"/>
              </w:rPr>
              <w:t>Should be completed end of 2019</w:t>
            </w:r>
          </w:p>
          <w:p w14:paraId="3EFFDD2A" w14:textId="77777777" w:rsidR="001A6FAD" w:rsidRDefault="001A6FAD" w:rsidP="002355A5">
            <w:pPr>
              <w:pStyle w:val="ListParagraph"/>
              <w:ind w:left="360"/>
              <w:rPr>
                <w:bCs/>
                <w:color w:val="000000"/>
                <w:lang w:eastAsia="en-AU"/>
              </w:rPr>
            </w:pPr>
          </w:p>
          <w:p w14:paraId="78D458F7" w14:textId="77777777" w:rsidR="001A6FAD" w:rsidRDefault="001A6FAD" w:rsidP="002355A5">
            <w:pPr>
              <w:pStyle w:val="ListParagraph"/>
              <w:ind w:left="360"/>
              <w:rPr>
                <w:bCs/>
                <w:color w:val="000000"/>
                <w:lang w:eastAsia="en-AU"/>
              </w:rPr>
            </w:pPr>
            <w:r>
              <w:rPr>
                <w:bCs/>
                <w:color w:val="000000"/>
                <w:lang w:eastAsia="en-AU"/>
              </w:rPr>
              <w:t>Q</w:t>
            </w:r>
            <w:r w:rsidR="00337E85">
              <w:rPr>
                <w:bCs/>
                <w:color w:val="000000"/>
                <w:lang w:eastAsia="en-AU"/>
              </w:rPr>
              <w:t>2</w:t>
            </w:r>
            <w:r>
              <w:rPr>
                <w:bCs/>
                <w:color w:val="000000"/>
                <w:lang w:eastAsia="en-AU"/>
              </w:rPr>
              <w:t xml:space="preserve">: </w:t>
            </w:r>
            <w:r w:rsidR="00922A4E">
              <w:rPr>
                <w:bCs/>
                <w:color w:val="000000"/>
                <w:lang w:eastAsia="en-AU"/>
              </w:rPr>
              <w:t>The September costs are higher than August</w:t>
            </w:r>
            <w:r w:rsidR="00BE54B0">
              <w:rPr>
                <w:bCs/>
                <w:color w:val="000000"/>
                <w:lang w:eastAsia="en-AU"/>
              </w:rPr>
              <w:t>, is this trend to continue in October?</w:t>
            </w:r>
          </w:p>
          <w:p w14:paraId="0565EB3A" w14:textId="77777777" w:rsidR="00BE54B0" w:rsidRDefault="00BE54B0" w:rsidP="002355A5">
            <w:pPr>
              <w:pStyle w:val="ListParagraph"/>
              <w:ind w:left="360"/>
              <w:rPr>
                <w:bCs/>
                <w:color w:val="000000"/>
                <w:lang w:eastAsia="en-AU"/>
              </w:rPr>
            </w:pPr>
          </w:p>
          <w:p w14:paraId="31FDCE56" w14:textId="77777777" w:rsidR="00C2005C" w:rsidRDefault="00BE54B0" w:rsidP="002355A5">
            <w:pPr>
              <w:pStyle w:val="ListParagraph"/>
              <w:ind w:left="360"/>
              <w:rPr>
                <w:bCs/>
                <w:color w:val="000000"/>
                <w:lang w:eastAsia="en-AU"/>
              </w:rPr>
            </w:pPr>
            <w:r>
              <w:rPr>
                <w:bCs/>
                <w:color w:val="000000"/>
                <w:lang w:eastAsia="en-AU"/>
              </w:rPr>
              <w:t xml:space="preserve">A2: </w:t>
            </w:r>
            <w:r w:rsidR="00C2005C">
              <w:rPr>
                <w:bCs/>
                <w:color w:val="000000"/>
                <w:lang w:eastAsia="en-AU"/>
              </w:rPr>
              <w:t xml:space="preserve">This depends on winter days and planned outages. There are also issues with the western link and </w:t>
            </w:r>
            <w:r w:rsidR="009059F8" w:rsidRPr="009059F8">
              <w:rPr>
                <w:bCs/>
                <w:color w:val="000000"/>
                <w:lang w:eastAsia="en-AU"/>
              </w:rPr>
              <w:t>the high costs are due to the Scottish wind outputs</w:t>
            </w:r>
          </w:p>
          <w:p w14:paraId="70E190E8" w14:textId="77777777" w:rsidR="00B9133A" w:rsidRDefault="00B9133A" w:rsidP="002355A5">
            <w:pPr>
              <w:pStyle w:val="ListParagraph"/>
              <w:ind w:left="360"/>
              <w:rPr>
                <w:bCs/>
                <w:color w:val="000000"/>
                <w:lang w:eastAsia="en-AU"/>
              </w:rPr>
            </w:pPr>
          </w:p>
          <w:p w14:paraId="1881020E" w14:textId="77777777" w:rsidR="00C2005C" w:rsidRDefault="00C2005C" w:rsidP="002355A5">
            <w:pPr>
              <w:pStyle w:val="ListParagraph"/>
              <w:ind w:left="360"/>
              <w:rPr>
                <w:bCs/>
                <w:color w:val="000000"/>
                <w:lang w:eastAsia="en-AU"/>
              </w:rPr>
            </w:pPr>
            <w:r>
              <w:rPr>
                <w:bCs/>
                <w:color w:val="000000"/>
                <w:lang w:eastAsia="en-AU"/>
              </w:rPr>
              <w:t xml:space="preserve">Q3: </w:t>
            </w:r>
            <w:r w:rsidR="00386A71">
              <w:rPr>
                <w:bCs/>
                <w:color w:val="000000"/>
                <w:lang w:eastAsia="en-AU"/>
              </w:rPr>
              <w:t>When will the western link be operational?</w:t>
            </w:r>
          </w:p>
          <w:p w14:paraId="28388A9C" w14:textId="77777777" w:rsidR="00386A71" w:rsidRDefault="00386A71" w:rsidP="002355A5">
            <w:pPr>
              <w:pStyle w:val="ListParagraph"/>
              <w:ind w:left="360"/>
              <w:rPr>
                <w:bCs/>
                <w:color w:val="000000"/>
                <w:lang w:eastAsia="en-AU"/>
              </w:rPr>
            </w:pPr>
          </w:p>
          <w:p w14:paraId="1C2A4D01" w14:textId="77777777" w:rsidR="00386A71" w:rsidRDefault="00386A71" w:rsidP="002355A5">
            <w:pPr>
              <w:pStyle w:val="ListParagraph"/>
              <w:ind w:left="360"/>
              <w:rPr>
                <w:bCs/>
                <w:color w:val="000000"/>
                <w:lang w:eastAsia="en-AU"/>
              </w:rPr>
            </w:pPr>
            <w:r>
              <w:rPr>
                <w:bCs/>
                <w:color w:val="000000"/>
                <w:lang w:eastAsia="en-AU"/>
              </w:rPr>
              <w:t xml:space="preserve">A3: </w:t>
            </w:r>
            <w:r w:rsidR="00A176DE">
              <w:rPr>
                <w:bCs/>
                <w:color w:val="000000"/>
                <w:lang w:eastAsia="en-AU"/>
              </w:rPr>
              <w:t xml:space="preserve">The western link is </w:t>
            </w:r>
            <w:r w:rsidR="00AD3082">
              <w:rPr>
                <w:bCs/>
                <w:color w:val="000000"/>
                <w:lang w:eastAsia="en-AU"/>
              </w:rPr>
              <w:t>due to return t</w:t>
            </w:r>
            <w:r w:rsidR="00A176DE">
              <w:rPr>
                <w:bCs/>
                <w:color w:val="000000"/>
                <w:lang w:eastAsia="en-AU"/>
              </w:rPr>
              <w:t>o service on the 6</w:t>
            </w:r>
            <w:r w:rsidR="00A176DE" w:rsidRPr="00A176DE">
              <w:rPr>
                <w:bCs/>
                <w:color w:val="000000"/>
                <w:vertAlign w:val="superscript"/>
                <w:lang w:eastAsia="en-AU"/>
              </w:rPr>
              <w:t>th</w:t>
            </w:r>
            <w:r w:rsidR="00A176DE">
              <w:rPr>
                <w:bCs/>
                <w:color w:val="000000"/>
                <w:lang w:eastAsia="en-AU"/>
              </w:rPr>
              <w:t xml:space="preserve"> November 2019</w:t>
            </w:r>
            <w:r w:rsidR="00481605">
              <w:rPr>
                <w:bCs/>
                <w:color w:val="000000"/>
                <w:lang w:eastAsia="en-AU"/>
              </w:rPr>
              <w:t xml:space="preserve">. (This was successfully </w:t>
            </w:r>
            <w:r w:rsidR="00941EF8">
              <w:rPr>
                <w:bCs/>
                <w:color w:val="000000"/>
                <w:lang w:eastAsia="en-AU"/>
              </w:rPr>
              <w:t>completed and</w:t>
            </w:r>
            <w:r w:rsidR="00AD3082">
              <w:rPr>
                <w:bCs/>
                <w:color w:val="000000"/>
                <w:lang w:eastAsia="en-AU"/>
              </w:rPr>
              <w:t xml:space="preserve"> it </w:t>
            </w:r>
            <w:r w:rsidR="00941EF8">
              <w:rPr>
                <w:bCs/>
                <w:color w:val="000000"/>
                <w:lang w:eastAsia="en-AU"/>
              </w:rPr>
              <w:t>is now in full operation).</w:t>
            </w:r>
          </w:p>
          <w:p w14:paraId="1DD8DA09" w14:textId="77777777" w:rsidR="007001D7" w:rsidRDefault="007001D7" w:rsidP="002355A5">
            <w:pPr>
              <w:pStyle w:val="ListParagraph"/>
              <w:ind w:left="360"/>
              <w:rPr>
                <w:bCs/>
                <w:color w:val="000000"/>
                <w:lang w:eastAsia="en-AU"/>
              </w:rPr>
            </w:pPr>
          </w:p>
          <w:p w14:paraId="2331475D" w14:textId="77777777" w:rsidR="00B91F08" w:rsidRPr="002355A5" w:rsidRDefault="00B91F08" w:rsidP="24173B80">
            <w:pPr>
              <w:pStyle w:val="ListParagraph"/>
              <w:numPr>
                <w:ilvl w:val="0"/>
                <w:numId w:val="2"/>
              </w:numPr>
              <w:spacing w:after="0"/>
              <w:rPr>
                <w:color w:val="000000"/>
              </w:rPr>
            </w:pPr>
            <w:r>
              <w:rPr>
                <w:b/>
                <w:color w:val="000000"/>
                <w:lang w:eastAsia="en-AU"/>
              </w:rPr>
              <w:t>Review actions</w:t>
            </w:r>
          </w:p>
          <w:p w14:paraId="348B8830" w14:textId="77777777" w:rsidR="00A9740A" w:rsidRPr="00FB5276" w:rsidRDefault="00A9740A" w:rsidP="002355A5">
            <w:pPr>
              <w:pStyle w:val="ListParagraph"/>
              <w:spacing w:after="0"/>
              <w:ind w:left="360"/>
              <w:rPr>
                <w:color w:val="000000"/>
              </w:rPr>
            </w:pPr>
          </w:p>
          <w:p w14:paraId="67F46543" w14:textId="77777777" w:rsidR="00FB5276" w:rsidRPr="00FB5276" w:rsidRDefault="00FC2FDD" w:rsidP="6A10E49C">
            <w:pPr>
              <w:pStyle w:val="ListParagraph"/>
              <w:spacing w:after="0"/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  <w:lang w:eastAsia="en-AU"/>
              </w:rPr>
              <w:t xml:space="preserve">Actions </w:t>
            </w:r>
            <w:r w:rsidR="0012590A">
              <w:rPr>
                <w:color w:val="000000" w:themeColor="text1"/>
                <w:lang w:eastAsia="en-AU"/>
              </w:rPr>
              <w:t>40, 41 and 42 closed</w:t>
            </w:r>
            <w:r w:rsidR="00E66A24">
              <w:rPr>
                <w:color w:val="000000" w:themeColor="text1"/>
                <w:lang w:eastAsia="en-AU"/>
              </w:rPr>
              <w:t>.</w:t>
            </w:r>
          </w:p>
          <w:p w14:paraId="25DDB4A7" w14:textId="77777777" w:rsidR="00B91F08" w:rsidRDefault="00B91F08" w:rsidP="24173B80">
            <w:pPr>
              <w:pStyle w:val="ListParagraph"/>
              <w:spacing w:after="0"/>
              <w:ind w:left="360"/>
              <w:rPr>
                <w:color w:val="000000"/>
              </w:rPr>
            </w:pPr>
          </w:p>
          <w:p w14:paraId="45682111" w14:textId="77777777" w:rsidR="00B91F08" w:rsidRPr="002355A5" w:rsidRDefault="00B068BB" w:rsidP="24173B80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Ofgem feedback on </w:t>
            </w:r>
            <w:proofErr w:type="spellStart"/>
            <w:r>
              <w:rPr>
                <w:b/>
                <w:bCs/>
                <w:color w:val="000000"/>
              </w:rPr>
              <w:t>mid year</w:t>
            </w:r>
            <w:proofErr w:type="spellEnd"/>
            <w:r>
              <w:rPr>
                <w:b/>
                <w:bCs/>
                <w:color w:val="000000"/>
              </w:rPr>
              <w:t xml:space="preserve"> report</w:t>
            </w:r>
          </w:p>
          <w:p w14:paraId="46C95E12" w14:textId="77777777" w:rsidR="00972052" w:rsidRDefault="00972052" w:rsidP="00972052">
            <w:pPr>
              <w:pStyle w:val="ListParagraph"/>
              <w:spacing w:after="0"/>
              <w:ind w:left="360"/>
              <w:rPr>
                <w:color w:val="000000" w:themeColor="text1"/>
                <w:lang w:eastAsia="en-AU"/>
              </w:rPr>
            </w:pPr>
          </w:p>
          <w:p w14:paraId="362AAAA9" w14:textId="77777777" w:rsidR="00FB4FC2" w:rsidRDefault="0099143C" w:rsidP="002355A5">
            <w:pPr>
              <w:pStyle w:val="ListParagraph"/>
              <w:spacing w:after="0"/>
              <w:ind w:left="360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Ofgem liked the structure</w:t>
            </w:r>
            <w:r w:rsidR="001C4F96">
              <w:rPr>
                <w:color w:val="000000" w:themeColor="text1"/>
                <w:lang w:eastAsia="en-AU"/>
              </w:rPr>
              <w:t xml:space="preserve"> of the report. They felt the case studies were good</w:t>
            </w:r>
            <w:r w:rsidR="00001FF1">
              <w:rPr>
                <w:color w:val="000000" w:themeColor="text1"/>
                <w:lang w:eastAsia="en-AU"/>
              </w:rPr>
              <w:t xml:space="preserve">, but </w:t>
            </w:r>
            <w:r w:rsidR="00F54E57">
              <w:rPr>
                <w:color w:val="000000" w:themeColor="text1"/>
                <w:lang w:eastAsia="en-AU"/>
              </w:rPr>
              <w:t xml:space="preserve">suggested merging current and future </w:t>
            </w:r>
            <w:r w:rsidR="00990B35">
              <w:rPr>
                <w:color w:val="000000" w:themeColor="text1"/>
                <w:lang w:eastAsia="en-AU"/>
              </w:rPr>
              <w:t xml:space="preserve">consumer benefits </w:t>
            </w:r>
            <w:r w:rsidR="00BA5BAE">
              <w:rPr>
                <w:color w:val="000000" w:themeColor="text1"/>
                <w:lang w:eastAsia="en-AU"/>
              </w:rPr>
              <w:t xml:space="preserve">in </w:t>
            </w:r>
            <w:r w:rsidR="00E06359">
              <w:rPr>
                <w:color w:val="000000" w:themeColor="text1"/>
                <w:lang w:eastAsia="en-AU"/>
              </w:rPr>
              <w:t xml:space="preserve">the </w:t>
            </w:r>
            <w:r w:rsidR="00BA5BAE">
              <w:rPr>
                <w:color w:val="000000" w:themeColor="text1"/>
                <w:lang w:eastAsia="en-AU"/>
              </w:rPr>
              <w:t xml:space="preserve">end of year report. </w:t>
            </w:r>
          </w:p>
          <w:p w14:paraId="1DE1F23C" w14:textId="77777777" w:rsidR="00FB4FC2" w:rsidRDefault="00FB4FC2" w:rsidP="002355A5">
            <w:pPr>
              <w:pStyle w:val="ListParagraph"/>
              <w:spacing w:after="0"/>
              <w:ind w:left="360"/>
              <w:rPr>
                <w:color w:val="000000" w:themeColor="text1"/>
                <w:lang w:eastAsia="en-AU"/>
              </w:rPr>
            </w:pPr>
          </w:p>
          <w:p w14:paraId="00169D4D" w14:textId="77777777" w:rsidR="00FB4FC2" w:rsidRDefault="00AD3082" w:rsidP="002355A5">
            <w:pPr>
              <w:pStyle w:val="ListParagraph"/>
              <w:spacing w:after="0"/>
              <w:ind w:left="360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Ofgem s</w:t>
            </w:r>
            <w:r w:rsidR="006A1AD6">
              <w:rPr>
                <w:color w:val="000000" w:themeColor="text1"/>
                <w:lang w:eastAsia="en-AU"/>
              </w:rPr>
              <w:t xml:space="preserve">uggested there being a </w:t>
            </w:r>
            <w:r w:rsidR="0078007F">
              <w:rPr>
                <w:color w:val="000000" w:themeColor="text1"/>
                <w:lang w:eastAsia="en-AU"/>
              </w:rPr>
              <w:t>master</w:t>
            </w:r>
            <w:r w:rsidR="006A1AD6">
              <w:rPr>
                <w:color w:val="000000" w:themeColor="text1"/>
                <w:lang w:eastAsia="en-AU"/>
              </w:rPr>
              <w:t xml:space="preserve"> list of </w:t>
            </w:r>
            <w:r w:rsidR="0078007F">
              <w:rPr>
                <w:color w:val="000000" w:themeColor="text1"/>
                <w:lang w:eastAsia="en-AU"/>
              </w:rPr>
              <w:t>planned deliverables</w:t>
            </w:r>
            <w:r w:rsidR="00135EB4">
              <w:rPr>
                <w:color w:val="000000" w:themeColor="text1"/>
                <w:lang w:eastAsia="en-AU"/>
              </w:rPr>
              <w:t xml:space="preserve"> in the report</w:t>
            </w:r>
            <w:r w:rsidR="002F6A35">
              <w:rPr>
                <w:color w:val="000000" w:themeColor="text1"/>
                <w:lang w:eastAsia="en-AU"/>
              </w:rPr>
              <w:t xml:space="preserve"> and t</w:t>
            </w:r>
            <w:r w:rsidR="00073435">
              <w:rPr>
                <w:color w:val="000000" w:themeColor="text1"/>
                <w:lang w:eastAsia="en-AU"/>
              </w:rPr>
              <w:t>he Forward Plan deliverables need to be more granular</w:t>
            </w:r>
            <w:r w:rsidR="002F6A35">
              <w:rPr>
                <w:color w:val="000000" w:themeColor="text1"/>
                <w:lang w:eastAsia="en-AU"/>
              </w:rPr>
              <w:t xml:space="preserve">. </w:t>
            </w:r>
          </w:p>
          <w:p w14:paraId="7E9D3A9B" w14:textId="77777777" w:rsidR="00FB4FC2" w:rsidRDefault="00FB4FC2" w:rsidP="002355A5">
            <w:pPr>
              <w:pStyle w:val="ListParagraph"/>
              <w:spacing w:after="0"/>
              <w:ind w:left="360"/>
              <w:rPr>
                <w:color w:val="000000" w:themeColor="text1"/>
                <w:lang w:eastAsia="en-AU"/>
              </w:rPr>
            </w:pPr>
          </w:p>
          <w:p w14:paraId="70DE4FE2" w14:textId="77777777" w:rsidR="000C459C" w:rsidRDefault="009059F8" w:rsidP="002355A5">
            <w:pPr>
              <w:pStyle w:val="ListParagraph"/>
              <w:spacing w:after="0"/>
              <w:ind w:left="360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Ofgem </w:t>
            </w:r>
            <w:r w:rsidR="00CD2EA6">
              <w:rPr>
                <w:color w:val="000000" w:themeColor="text1"/>
                <w:lang w:eastAsia="en-AU"/>
              </w:rPr>
              <w:t>found the stakeholder section helpful with links to specific deliverables</w:t>
            </w:r>
            <w:r w:rsidR="00FB4FC2">
              <w:rPr>
                <w:color w:val="000000" w:themeColor="text1"/>
                <w:lang w:eastAsia="en-AU"/>
              </w:rPr>
              <w:t xml:space="preserve">. The level of detail was </w:t>
            </w:r>
            <w:r w:rsidR="00AD3082">
              <w:rPr>
                <w:color w:val="000000" w:themeColor="text1"/>
                <w:lang w:eastAsia="en-AU"/>
              </w:rPr>
              <w:t xml:space="preserve">correct </w:t>
            </w:r>
            <w:r w:rsidR="00FB4FC2">
              <w:rPr>
                <w:color w:val="000000" w:themeColor="text1"/>
                <w:lang w:eastAsia="en-AU"/>
              </w:rPr>
              <w:t>and they appreciated the balanced view and transparency of future plans.</w:t>
            </w:r>
          </w:p>
          <w:p w14:paraId="1BAB773B" w14:textId="77777777" w:rsidR="00FB4FC2" w:rsidRDefault="00FB4FC2" w:rsidP="002355A5">
            <w:pPr>
              <w:pStyle w:val="ListParagraph"/>
              <w:spacing w:after="0"/>
              <w:ind w:left="360"/>
              <w:rPr>
                <w:color w:val="000000" w:themeColor="text1"/>
                <w:lang w:eastAsia="en-AU"/>
              </w:rPr>
            </w:pPr>
          </w:p>
          <w:p w14:paraId="1C09DC17" w14:textId="77777777" w:rsidR="00FB4FC2" w:rsidRDefault="009156B5" w:rsidP="002355A5">
            <w:pPr>
              <w:pStyle w:val="ListParagraph"/>
              <w:spacing w:after="0"/>
              <w:ind w:left="360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Regarding the metrics</w:t>
            </w:r>
            <w:r w:rsidR="00C400ED">
              <w:rPr>
                <w:color w:val="000000" w:themeColor="text1"/>
                <w:lang w:eastAsia="en-AU"/>
              </w:rPr>
              <w:t>,</w:t>
            </w:r>
            <w:r>
              <w:rPr>
                <w:color w:val="000000" w:themeColor="text1"/>
                <w:lang w:eastAsia="en-AU"/>
              </w:rPr>
              <w:t xml:space="preserve"> </w:t>
            </w:r>
            <w:r w:rsidR="00D94B9A">
              <w:rPr>
                <w:color w:val="000000" w:themeColor="text1"/>
                <w:lang w:eastAsia="en-AU"/>
              </w:rPr>
              <w:t xml:space="preserve">Ofgem </w:t>
            </w:r>
            <w:r w:rsidR="00A62762">
              <w:rPr>
                <w:color w:val="000000" w:themeColor="text1"/>
                <w:lang w:eastAsia="en-AU"/>
              </w:rPr>
              <w:t>were keen on</w:t>
            </w:r>
            <w:r w:rsidR="003259DE">
              <w:rPr>
                <w:color w:val="000000" w:themeColor="text1"/>
                <w:lang w:eastAsia="en-AU"/>
              </w:rPr>
              <w:t xml:space="preserve"> the orange boxes with the narrative and explanation of each metric.</w:t>
            </w:r>
            <w:r w:rsidR="00E01287">
              <w:rPr>
                <w:color w:val="000000" w:themeColor="text1"/>
                <w:lang w:eastAsia="en-AU"/>
              </w:rPr>
              <w:t xml:space="preserve"> </w:t>
            </w:r>
            <w:r w:rsidR="00A62762">
              <w:rPr>
                <w:color w:val="000000" w:themeColor="text1"/>
                <w:lang w:eastAsia="en-AU"/>
              </w:rPr>
              <w:t>Ofgem</w:t>
            </w:r>
            <w:r w:rsidR="00E01287">
              <w:rPr>
                <w:color w:val="000000" w:themeColor="text1"/>
                <w:lang w:eastAsia="en-AU"/>
              </w:rPr>
              <w:t xml:space="preserve"> understood that </w:t>
            </w:r>
            <w:r w:rsidR="009059F8" w:rsidRPr="009059F8">
              <w:rPr>
                <w:color w:val="000000" w:themeColor="text1"/>
                <w:lang w:eastAsia="en-AU"/>
              </w:rPr>
              <w:t>It is not necessary to reproduce</w:t>
            </w:r>
            <w:r w:rsidR="009059F8">
              <w:rPr>
                <w:color w:val="000000" w:themeColor="text1"/>
                <w:lang w:eastAsia="en-AU"/>
              </w:rPr>
              <w:t xml:space="preserve"> </w:t>
            </w:r>
            <w:r w:rsidR="00E01287">
              <w:rPr>
                <w:color w:val="000000" w:themeColor="text1"/>
                <w:lang w:eastAsia="en-AU"/>
              </w:rPr>
              <w:t xml:space="preserve">every metric for the first half of the year </w:t>
            </w:r>
            <w:r w:rsidR="00A62762">
              <w:rPr>
                <w:color w:val="000000" w:themeColor="text1"/>
                <w:lang w:eastAsia="en-AU"/>
              </w:rPr>
              <w:t xml:space="preserve">in the </w:t>
            </w:r>
            <w:proofErr w:type="spellStart"/>
            <w:r w:rsidR="00A62762">
              <w:rPr>
                <w:color w:val="000000" w:themeColor="text1"/>
                <w:lang w:eastAsia="en-AU"/>
              </w:rPr>
              <w:t>mid year</w:t>
            </w:r>
            <w:proofErr w:type="spellEnd"/>
            <w:r w:rsidR="00A62762">
              <w:rPr>
                <w:color w:val="000000" w:themeColor="text1"/>
                <w:lang w:eastAsia="en-AU"/>
              </w:rPr>
              <w:t xml:space="preserve"> report </w:t>
            </w:r>
            <w:r w:rsidR="00E01287">
              <w:rPr>
                <w:color w:val="000000" w:themeColor="text1"/>
                <w:lang w:eastAsia="en-AU"/>
              </w:rPr>
              <w:t xml:space="preserve">and will use the monthly reports to monitor </w:t>
            </w:r>
            <w:r w:rsidR="00AD3082">
              <w:rPr>
                <w:color w:val="000000" w:themeColor="text1"/>
                <w:lang w:eastAsia="en-AU"/>
              </w:rPr>
              <w:t>these metrics</w:t>
            </w:r>
            <w:r w:rsidR="00E01287">
              <w:rPr>
                <w:color w:val="000000" w:themeColor="text1"/>
                <w:lang w:eastAsia="en-AU"/>
              </w:rPr>
              <w:t>.</w:t>
            </w:r>
          </w:p>
          <w:p w14:paraId="414D2709" w14:textId="77777777" w:rsidR="00C400ED" w:rsidRDefault="00C400ED" w:rsidP="002355A5">
            <w:pPr>
              <w:pStyle w:val="ListParagraph"/>
              <w:spacing w:after="0"/>
              <w:ind w:left="360"/>
              <w:rPr>
                <w:color w:val="000000" w:themeColor="text1"/>
                <w:lang w:eastAsia="en-AU"/>
              </w:rPr>
            </w:pPr>
          </w:p>
          <w:p w14:paraId="47DF6574" w14:textId="77777777" w:rsidR="00C400ED" w:rsidRDefault="0009652A" w:rsidP="002355A5">
            <w:pPr>
              <w:pStyle w:val="ListParagraph"/>
              <w:spacing w:after="0"/>
              <w:ind w:left="360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For the executive summary</w:t>
            </w:r>
            <w:r w:rsidR="00B37E0B">
              <w:rPr>
                <w:color w:val="000000" w:themeColor="text1"/>
                <w:lang w:eastAsia="en-AU"/>
              </w:rPr>
              <w:t xml:space="preserve">, </w:t>
            </w:r>
            <w:r w:rsidR="00D94B9A">
              <w:rPr>
                <w:color w:val="000000" w:themeColor="text1"/>
                <w:lang w:eastAsia="en-AU"/>
              </w:rPr>
              <w:t xml:space="preserve">Ofgem </w:t>
            </w:r>
            <w:r w:rsidR="00B37E0B">
              <w:rPr>
                <w:color w:val="000000" w:themeColor="text1"/>
                <w:lang w:eastAsia="en-AU"/>
              </w:rPr>
              <w:t xml:space="preserve">appreciated the link to </w:t>
            </w:r>
            <w:r w:rsidR="00AE7342">
              <w:rPr>
                <w:color w:val="000000" w:themeColor="text1"/>
                <w:lang w:eastAsia="en-AU"/>
              </w:rPr>
              <w:t xml:space="preserve">the ESO </w:t>
            </w:r>
            <w:r w:rsidR="00B37E0B">
              <w:rPr>
                <w:color w:val="000000" w:themeColor="text1"/>
                <w:lang w:eastAsia="en-AU"/>
              </w:rPr>
              <w:t xml:space="preserve">ambitions and that </w:t>
            </w:r>
            <w:r w:rsidR="00AE7342">
              <w:rPr>
                <w:color w:val="000000" w:themeColor="text1"/>
                <w:lang w:eastAsia="en-AU"/>
              </w:rPr>
              <w:t xml:space="preserve">NGESO </w:t>
            </w:r>
            <w:r w:rsidR="00B37E0B">
              <w:rPr>
                <w:color w:val="000000" w:themeColor="text1"/>
                <w:lang w:eastAsia="en-AU"/>
              </w:rPr>
              <w:t xml:space="preserve">had taken on stakeholder feedback </w:t>
            </w:r>
            <w:r w:rsidR="00CB4EBA">
              <w:rPr>
                <w:color w:val="000000" w:themeColor="text1"/>
                <w:lang w:eastAsia="en-AU"/>
              </w:rPr>
              <w:t>from the panel</w:t>
            </w:r>
            <w:r w:rsidR="00AE7342">
              <w:rPr>
                <w:color w:val="000000" w:themeColor="text1"/>
                <w:lang w:eastAsia="en-AU"/>
              </w:rPr>
              <w:t>.</w:t>
            </w:r>
            <w:r w:rsidR="00CB4EBA">
              <w:rPr>
                <w:color w:val="000000" w:themeColor="text1"/>
                <w:lang w:eastAsia="en-AU"/>
              </w:rPr>
              <w:t xml:space="preserve"> </w:t>
            </w:r>
          </w:p>
          <w:p w14:paraId="6043DD2B" w14:textId="77777777" w:rsidR="00C010FD" w:rsidRDefault="00C010FD" w:rsidP="002355A5">
            <w:pPr>
              <w:pStyle w:val="ListParagraph"/>
              <w:spacing w:after="0"/>
              <w:ind w:left="360"/>
              <w:rPr>
                <w:color w:val="000000" w:themeColor="text1"/>
                <w:lang w:eastAsia="en-AU"/>
              </w:rPr>
            </w:pPr>
          </w:p>
          <w:p w14:paraId="2688A625" w14:textId="77777777" w:rsidR="00C010FD" w:rsidRDefault="00C010FD" w:rsidP="002355A5">
            <w:pPr>
              <w:pStyle w:val="ListParagraph"/>
              <w:spacing w:after="0"/>
              <w:ind w:left="360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lastRenderedPageBreak/>
              <w:t>Ofgem have not finalised their views of the report as they were still waiting for the responses to the questions they and the panel sent.</w:t>
            </w:r>
            <w:r w:rsidR="00BD5F75">
              <w:rPr>
                <w:color w:val="000000" w:themeColor="text1"/>
                <w:lang w:eastAsia="en-AU"/>
              </w:rPr>
              <w:t xml:space="preserve"> (</w:t>
            </w:r>
            <w:r w:rsidR="00AE7342">
              <w:rPr>
                <w:color w:val="000000" w:themeColor="text1"/>
                <w:lang w:eastAsia="en-AU"/>
              </w:rPr>
              <w:t>NGESO sent the responses to these questions</w:t>
            </w:r>
            <w:r w:rsidR="00BD5F75">
              <w:rPr>
                <w:color w:val="000000" w:themeColor="text1"/>
                <w:lang w:eastAsia="en-AU"/>
              </w:rPr>
              <w:t xml:space="preserve"> on the 11</w:t>
            </w:r>
            <w:r w:rsidR="0026311B" w:rsidRPr="0026311B">
              <w:rPr>
                <w:color w:val="000000" w:themeColor="text1"/>
                <w:vertAlign w:val="superscript"/>
                <w:lang w:eastAsia="en-AU"/>
              </w:rPr>
              <w:t>th</w:t>
            </w:r>
            <w:r w:rsidR="00BD5F75">
              <w:rPr>
                <w:color w:val="000000" w:themeColor="text1"/>
                <w:lang w:eastAsia="en-AU"/>
              </w:rPr>
              <w:t xml:space="preserve"> November). </w:t>
            </w:r>
          </w:p>
          <w:p w14:paraId="635AA604" w14:textId="77777777" w:rsidR="0026311B" w:rsidRDefault="0026311B" w:rsidP="002355A5">
            <w:pPr>
              <w:pStyle w:val="ListParagraph"/>
              <w:spacing w:after="0"/>
              <w:ind w:left="360"/>
              <w:rPr>
                <w:color w:val="000000" w:themeColor="text1"/>
                <w:lang w:eastAsia="en-AU"/>
              </w:rPr>
            </w:pPr>
          </w:p>
          <w:p w14:paraId="279FD9B8" w14:textId="77777777" w:rsidR="0026311B" w:rsidRDefault="00306F1C" w:rsidP="002355A5">
            <w:pPr>
              <w:pStyle w:val="ListParagraph"/>
              <w:spacing w:after="0"/>
              <w:ind w:left="360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Ofgem’s high level </w:t>
            </w:r>
            <w:r w:rsidR="00961058">
              <w:rPr>
                <w:color w:val="000000" w:themeColor="text1"/>
                <w:lang w:eastAsia="en-AU"/>
              </w:rPr>
              <w:t>over</w:t>
            </w:r>
            <w:r>
              <w:rPr>
                <w:color w:val="000000" w:themeColor="text1"/>
                <w:lang w:eastAsia="en-AU"/>
              </w:rPr>
              <w:t xml:space="preserve">view of Role 2 </w:t>
            </w:r>
            <w:r w:rsidR="00FC320C">
              <w:rPr>
                <w:color w:val="000000" w:themeColor="text1"/>
                <w:lang w:eastAsia="en-AU"/>
              </w:rPr>
              <w:t xml:space="preserve">is that they found the case studies helpful, </w:t>
            </w:r>
            <w:r w:rsidR="00B51B88">
              <w:rPr>
                <w:color w:val="000000" w:themeColor="text1"/>
                <w:lang w:eastAsia="en-AU"/>
              </w:rPr>
              <w:t xml:space="preserve">however the </w:t>
            </w:r>
            <w:r w:rsidR="00274442">
              <w:rPr>
                <w:color w:val="000000" w:themeColor="text1"/>
                <w:lang w:eastAsia="en-AU"/>
              </w:rPr>
              <w:t>metrics</w:t>
            </w:r>
            <w:r w:rsidR="00B51B88">
              <w:rPr>
                <w:color w:val="000000" w:themeColor="text1"/>
                <w:lang w:eastAsia="en-AU"/>
              </w:rPr>
              <w:t xml:space="preserve"> needed more justification </w:t>
            </w:r>
            <w:r w:rsidR="00274442">
              <w:rPr>
                <w:color w:val="000000" w:themeColor="text1"/>
                <w:lang w:eastAsia="en-AU"/>
              </w:rPr>
              <w:t xml:space="preserve">and explanation. </w:t>
            </w:r>
          </w:p>
          <w:p w14:paraId="3A7041C2" w14:textId="77777777" w:rsidR="00274442" w:rsidRDefault="00274442" w:rsidP="002355A5">
            <w:pPr>
              <w:pStyle w:val="ListParagraph"/>
              <w:spacing w:after="0"/>
              <w:ind w:left="360"/>
              <w:rPr>
                <w:color w:val="000000" w:themeColor="text1"/>
                <w:lang w:eastAsia="en-AU"/>
              </w:rPr>
            </w:pPr>
          </w:p>
          <w:p w14:paraId="7F97881D" w14:textId="77777777" w:rsidR="00274442" w:rsidRDefault="00E86402" w:rsidP="002355A5">
            <w:pPr>
              <w:pStyle w:val="ListParagraph"/>
              <w:spacing w:after="0"/>
              <w:ind w:left="360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The case studies over all the Roles were useful </w:t>
            </w:r>
            <w:r w:rsidR="007314EB">
              <w:rPr>
                <w:color w:val="000000" w:themeColor="text1"/>
                <w:lang w:eastAsia="en-AU"/>
              </w:rPr>
              <w:t xml:space="preserve">to set out benefits and relate to tangible deliverables. As it is </w:t>
            </w:r>
            <w:proofErr w:type="spellStart"/>
            <w:r w:rsidR="007314EB">
              <w:rPr>
                <w:color w:val="000000" w:themeColor="text1"/>
                <w:lang w:eastAsia="en-AU"/>
              </w:rPr>
              <w:t>mid year</w:t>
            </w:r>
            <w:proofErr w:type="spellEnd"/>
            <w:r w:rsidR="007314EB">
              <w:rPr>
                <w:color w:val="000000" w:themeColor="text1"/>
                <w:lang w:eastAsia="en-AU"/>
              </w:rPr>
              <w:t xml:space="preserve"> there are ongoing projects which will be updated in the end of year report. </w:t>
            </w:r>
          </w:p>
          <w:p w14:paraId="734DBC2A" w14:textId="77777777" w:rsidR="00C835AE" w:rsidRDefault="00C835AE" w:rsidP="002355A5">
            <w:pPr>
              <w:pStyle w:val="ListParagraph"/>
              <w:spacing w:after="0"/>
              <w:ind w:left="360"/>
              <w:rPr>
                <w:color w:val="000000" w:themeColor="text1"/>
                <w:lang w:eastAsia="en-AU"/>
              </w:rPr>
            </w:pPr>
          </w:p>
          <w:p w14:paraId="08388C60" w14:textId="273D9CA4" w:rsidR="00A86FC0" w:rsidRDefault="00B64EE0" w:rsidP="00CA3283">
            <w:pPr>
              <w:pStyle w:val="ListParagraph"/>
              <w:spacing w:after="0"/>
              <w:ind w:left="360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Ofgem were disappointed in some of t</w:t>
            </w:r>
            <w:r w:rsidR="00693323">
              <w:rPr>
                <w:color w:val="000000" w:themeColor="text1"/>
                <w:lang w:eastAsia="en-AU"/>
              </w:rPr>
              <w:t xml:space="preserve">he </w:t>
            </w:r>
            <w:r>
              <w:rPr>
                <w:color w:val="000000" w:themeColor="text1"/>
                <w:lang w:eastAsia="en-AU"/>
              </w:rPr>
              <w:t>planned</w:t>
            </w:r>
            <w:r w:rsidR="00693323">
              <w:rPr>
                <w:color w:val="000000" w:themeColor="text1"/>
                <w:lang w:eastAsia="en-AU"/>
              </w:rPr>
              <w:t xml:space="preserve"> </w:t>
            </w:r>
            <w:r>
              <w:rPr>
                <w:color w:val="000000" w:themeColor="text1"/>
                <w:lang w:eastAsia="en-AU"/>
              </w:rPr>
              <w:t xml:space="preserve">deliverables </w:t>
            </w:r>
            <w:r w:rsidR="00693323" w:rsidRPr="00B64EE0">
              <w:rPr>
                <w:color w:val="000000" w:themeColor="text1"/>
                <w:lang w:eastAsia="en-AU"/>
              </w:rPr>
              <w:t>in Role 2</w:t>
            </w:r>
            <w:r w:rsidR="00CA3283">
              <w:rPr>
                <w:color w:val="000000" w:themeColor="text1"/>
                <w:lang w:eastAsia="en-AU"/>
              </w:rPr>
              <w:t xml:space="preserve">. They did find </w:t>
            </w:r>
            <w:r w:rsidR="003C4F49">
              <w:rPr>
                <w:color w:val="000000" w:themeColor="text1"/>
                <w:lang w:eastAsia="en-AU"/>
              </w:rPr>
              <w:t>Principle 4 was</w:t>
            </w:r>
            <w:r w:rsidR="00A86FC0">
              <w:rPr>
                <w:color w:val="000000" w:themeColor="text1"/>
                <w:lang w:eastAsia="en-AU"/>
              </w:rPr>
              <w:t xml:space="preserve"> </w:t>
            </w:r>
            <w:r w:rsidR="00E32842">
              <w:rPr>
                <w:color w:val="000000" w:themeColor="text1"/>
                <w:lang w:eastAsia="en-AU"/>
              </w:rPr>
              <w:t xml:space="preserve">more </w:t>
            </w:r>
            <w:r w:rsidR="003C4F49">
              <w:rPr>
                <w:color w:val="000000" w:themeColor="text1"/>
                <w:lang w:eastAsia="en-AU"/>
              </w:rPr>
              <w:t>positive</w:t>
            </w:r>
            <w:r w:rsidR="00E32842">
              <w:rPr>
                <w:color w:val="000000" w:themeColor="text1"/>
                <w:lang w:eastAsia="en-AU"/>
              </w:rPr>
              <w:t xml:space="preserve"> in terms of plan delivery but noted the poor performance through the </w:t>
            </w:r>
            <w:proofErr w:type="spellStart"/>
            <w:r w:rsidR="00E32842">
              <w:rPr>
                <w:color w:val="000000" w:themeColor="text1"/>
                <w:lang w:eastAsia="en-AU"/>
              </w:rPr>
              <w:t>CACoP</w:t>
            </w:r>
            <w:proofErr w:type="spellEnd"/>
            <w:r w:rsidR="00E32842">
              <w:rPr>
                <w:color w:val="000000" w:themeColor="text1"/>
                <w:lang w:eastAsia="en-AU"/>
              </w:rPr>
              <w:t xml:space="preserve"> survey.</w:t>
            </w:r>
            <w:r w:rsidR="00CA3283">
              <w:rPr>
                <w:color w:val="000000" w:themeColor="text1"/>
                <w:lang w:eastAsia="en-AU"/>
              </w:rPr>
              <w:t xml:space="preserve"> However s</w:t>
            </w:r>
            <w:r w:rsidR="00A86FC0">
              <w:rPr>
                <w:color w:val="000000" w:themeColor="text1"/>
                <w:lang w:eastAsia="en-AU"/>
              </w:rPr>
              <w:t>takeholders</w:t>
            </w:r>
            <w:r w:rsidR="00E651A7">
              <w:rPr>
                <w:color w:val="000000" w:themeColor="text1"/>
                <w:lang w:eastAsia="en-AU"/>
              </w:rPr>
              <w:t>’</w:t>
            </w:r>
            <w:r w:rsidR="00A86FC0">
              <w:rPr>
                <w:color w:val="000000" w:themeColor="text1"/>
                <w:lang w:eastAsia="en-AU"/>
              </w:rPr>
              <w:t xml:space="preserve"> feedback is that they are frustrated with t</w:t>
            </w:r>
            <w:r w:rsidR="003C4F49">
              <w:rPr>
                <w:color w:val="000000" w:themeColor="text1"/>
                <w:lang w:eastAsia="en-AU"/>
              </w:rPr>
              <w:t xml:space="preserve">he </w:t>
            </w:r>
            <w:r w:rsidR="00E651A7">
              <w:rPr>
                <w:color w:val="000000" w:themeColor="text1"/>
                <w:lang w:eastAsia="en-AU"/>
              </w:rPr>
              <w:t xml:space="preserve">progress of </w:t>
            </w:r>
            <w:r w:rsidR="003C4F49">
              <w:rPr>
                <w:color w:val="000000" w:themeColor="text1"/>
                <w:lang w:eastAsia="en-AU"/>
              </w:rPr>
              <w:t>balancing reform</w:t>
            </w:r>
            <w:r w:rsidR="00E651A7">
              <w:rPr>
                <w:color w:val="000000" w:themeColor="text1"/>
                <w:lang w:eastAsia="en-AU"/>
              </w:rPr>
              <w:t>s</w:t>
            </w:r>
            <w:r w:rsidR="003C4F49">
              <w:rPr>
                <w:color w:val="000000" w:themeColor="text1"/>
                <w:lang w:eastAsia="en-AU"/>
              </w:rPr>
              <w:t xml:space="preserve"> </w:t>
            </w:r>
            <w:r w:rsidR="00CA3283">
              <w:rPr>
                <w:color w:val="000000" w:themeColor="text1"/>
                <w:lang w:eastAsia="en-AU"/>
              </w:rPr>
              <w:t>and t</w:t>
            </w:r>
            <w:r w:rsidR="00DC6D81">
              <w:rPr>
                <w:color w:val="000000" w:themeColor="text1"/>
                <w:lang w:eastAsia="en-AU"/>
              </w:rPr>
              <w:t xml:space="preserve">he panel will want to hear about how </w:t>
            </w:r>
            <w:r w:rsidR="00D94B9A">
              <w:rPr>
                <w:color w:val="000000" w:themeColor="text1"/>
                <w:lang w:eastAsia="en-AU"/>
              </w:rPr>
              <w:t>the ESO is</w:t>
            </w:r>
            <w:r w:rsidR="00DC6D81">
              <w:rPr>
                <w:color w:val="000000" w:themeColor="text1"/>
                <w:lang w:eastAsia="en-AU"/>
              </w:rPr>
              <w:t xml:space="preserve"> progressing on </w:t>
            </w:r>
            <w:r w:rsidR="00C36C4E">
              <w:rPr>
                <w:color w:val="000000" w:themeColor="text1"/>
                <w:lang w:eastAsia="en-AU"/>
              </w:rPr>
              <w:t>this.</w:t>
            </w:r>
          </w:p>
          <w:p w14:paraId="7C6DEEC0" w14:textId="77777777" w:rsidR="00C36C4E" w:rsidRDefault="00C36C4E" w:rsidP="00CA3283">
            <w:pPr>
              <w:pStyle w:val="ListParagraph"/>
              <w:spacing w:after="0"/>
              <w:ind w:left="360"/>
              <w:rPr>
                <w:color w:val="000000" w:themeColor="text1"/>
                <w:lang w:eastAsia="en-AU"/>
              </w:rPr>
            </w:pPr>
          </w:p>
          <w:p w14:paraId="206D3E94" w14:textId="77777777" w:rsidR="00ED6F90" w:rsidRDefault="00EB636F" w:rsidP="00CA3283">
            <w:pPr>
              <w:pStyle w:val="ListParagraph"/>
              <w:spacing w:after="0"/>
              <w:ind w:left="360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Regarding </w:t>
            </w:r>
            <w:proofErr w:type="spellStart"/>
            <w:r>
              <w:rPr>
                <w:color w:val="000000" w:themeColor="text1"/>
                <w:lang w:eastAsia="en-AU"/>
              </w:rPr>
              <w:t>CaCoP</w:t>
            </w:r>
            <w:proofErr w:type="spellEnd"/>
            <w:r>
              <w:rPr>
                <w:color w:val="000000" w:themeColor="text1"/>
                <w:lang w:eastAsia="en-AU"/>
              </w:rPr>
              <w:t xml:space="preserve">, the panel will want to ask what is </w:t>
            </w:r>
            <w:r w:rsidR="00DB3418">
              <w:rPr>
                <w:color w:val="000000" w:themeColor="text1"/>
                <w:lang w:eastAsia="en-AU"/>
              </w:rPr>
              <w:t>being done</w:t>
            </w:r>
            <w:r>
              <w:rPr>
                <w:color w:val="000000" w:themeColor="text1"/>
                <w:lang w:eastAsia="en-AU"/>
              </w:rPr>
              <w:t xml:space="preserve"> and </w:t>
            </w:r>
            <w:r w:rsidR="00DB3418">
              <w:rPr>
                <w:color w:val="000000" w:themeColor="text1"/>
                <w:lang w:eastAsia="en-AU"/>
              </w:rPr>
              <w:t xml:space="preserve">what </w:t>
            </w:r>
            <w:r w:rsidR="00A03D29">
              <w:rPr>
                <w:color w:val="000000" w:themeColor="text1"/>
                <w:lang w:eastAsia="en-AU"/>
              </w:rPr>
              <w:t xml:space="preserve">our plan is </w:t>
            </w:r>
            <w:r w:rsidR="00DB3418">
              <w:rPr>
                <w:color w:val="000000" w:themeColor="text1"/>
                <w:lang w:eastAsia="en-AU"/>
              </w:rPr>
              <w:t>going forward.</w:t>
            </w:r>
          </w:p>
          <w:p w14:paraId="1A066CF0" w14:textId="77777777" w:rsidR="00C54E2F" w:rsidRDefault="00C54E2F" w:rsidP="00CA3283">
            <w:pPr>
              <w:pStyle w:val="ListParagraph"/>
              <w:spacing w:after="0"/>
              <w:ind w:left="360"/>
              <w:rPr>
                <w:color w:val="000000" w:themeColor="text1"/>
                <w:lang w:eastAsia="en-AU"/>
              </w:rPr>
            </w:pPr>
          </w:p>
          <w:p w14:paraId="038DFD5F" w14:textId="77777777" w:rsidR="00C835AE" w:rsidRDefault="00C54E2F" w:rsidP="002355A5">
            <w:pPr>
              <w:pStyle w:val="ListParagraph"/>
              <w:spacing w:after="0"/>
              <w:ind w:left="360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There were questions around the balancing costs</w:t>
            </w:r>
            <w:r w:rsidR="00522FD1">
              <w:rPr>
                <w:color w:val="000000" w:themeColor="text1"/>
                <w:lang w:eastAsia="en-AU"/>
              </w:rPr>
              <w:t>,</w:t>
            </w:r>
            <w:r>
              <w:rPr>
                <w:color w:val="000000" w:themeColor="text1"/>
                <w:lang w:eastAsia="en-AU"/>
              </w:rPr>
              <w:t xml:space="preserve"> </w:t>
            </w:r>
            <w:r w:rsidR="00F90D48">
              <w:rPr>
                <w:color w:val="000000" w:themeColor="text1"/>
                <w:lang w:eastAsia="en-AU"/>
              </w:rPr>
              <w:t xml:space="preserve">such as whether the benchmark should be green as costs are up from last year. </w:t>
            </w:r>
            <w:r w:rsidR="004F35A3">
              <w:rPr>
                <w:color w:val="000000" w:themeColor="text1"/>
                <w:lang w:eastAsia="en-AU"/>
              </w:rPr>
              <w:t>Ofgem appreciate</w:t>
            </w:r>
            <w:r w:rsidR="00522FD1">
              <w:rPr>
                <w:color w:val="000000" w:themeColor="text1"/>
                <w:lang w:eastAsia="en-AU"/>
              </w:rPr>
              <w:t>d</w:t>
            </w:r>
            <w:r w:rsidR="004F35A3">
              <w:rPr>
                <w:color w:val="000000" w:themeColor="text1"/>
                <w:lang w:eastAsia="en-AU"/>
              </w:rPr>
              <w:t xml:space="preserve"> that </w:t>
            </w:r>
            <w:r w:rsidR="00522FD1">
              <w:rPr>
                <w:color w:val="000000" w:themeColor="text1"/>
                <w:lang w:eastAsia="en-AU"/>
              </w:rPr>
              <w:t xml:space="preserve">the generation mix had changed, and the ESO explained that we seek to minimise balancing costs rather than working towards a target. </w:t>
            </w:r>
            <w:r w:rsidR="004F35A3">
              <w:rPr>
                <w:color w:val="000000" w:themeColor="text1"/>
                <w:lang w:eastAsia="en-AU"/>
              </w:rPr>
              <w:t xml:space="preserve"> </w:t>
            </w:r>
          </w:p>
          <w:p w14:paraId="793DD23E" w14:textId="77777777" w:rsidR="00760706" w:rsidRDefault="00760706" w:rsidP="002355A5">
            <w:pPr>
              <w:pStyle w:val="ListParagraph"/>
              <w:spacing w:after="0"/>
              <w:ind w:left="360"/>
              <w:rPr>
                <w:color w:val="000000" w:themeColor="text1"/>
                <w:lang w:eastAsia="en-AU"/>
              </w:rPr>
            </w:pPr>
          </w:p>
          <w:p w14:paraId="53B77F38" w14:textId="77777777" w:rsidR="005A4946" w:rsidRDefault="00963245" w:rsidP="005A4946">
            <w:pPr>
              <w:pStyle w:val="ListParagraph"/>
              <w:spacing w:after="0"/>
              <w:ind w:left="360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Regarding Role 3</w:t>
            </w:r>
            <w:r w:rsidR="00522FD1">
              <w:rPr>
                <w:color w:val="000000" w:themeColor="text1"/>
                <w:lang w:eastAsia="en-AU"/>
              </w:rPr>
              <w:t>,</w:t>
            </w:r>
            <w:r>
              <w:rPr>
                <w:color w:val="000000" w:themeColor="text1"/>
                <w:lang w:eastAsia="en-AU"/>
              </w:rPr>
              <w:t xml:space="preserve"> Ofgem were concerned about the delay to the pathfinder</w:t>
            </w:r>
            <w:r w:rsidR="00C22E5E">
              <w:rPr>
                <w:color w:val="000000" w:themeColor="text1"/>
                <w:lang w:eastAsia="en-AU"/>
              </w:rPr>
              <w:t>s</w:t>
            </w:r>
            <w:r w:rsidR="00522FD1">
              <w:rPr>
                <w:color w:val="000000" w:themeColor="text1"/>
                <w:lang w:eastAsia="en-AU"/>
              </w:rPr>
              <w:t>,</w:t>
            </w:r>
            <w:r w:rsidR="00C22E5E">
              <w:rPr>
                <w:color w:val="000000" w:themeColor="text1"/>
                <w:lang w:eastAsia="en-AU"/>
              </w:rPr>
              <w:t xml:space="preserve"> and want</w:t>
            </w:r>
            <w:r w:rsidR="00522FD1">
              <w:rPr>
                <w:color w:val="000000" w:themeColor="text1"/>
                <w:lang w:eastAsia="en-AU"/>
              </w:rPr>
              <w:t>ed</w:t>
            </w:r>
            <w:r w:rsidR="00C22E5E">
              <w:rPr>
                <w:color w:val="000000" w:themeColor="text1"/>
                <w:lang w:eastAsia="en-AU"/>
              </w:rPr>
              <w:t xml:space="preserve"> to see </w:t>
            </w:r>
            <w:r w:rsidR="004F4A8F">
              <w:rPr>
                <w:color w:val="000000" w:themeColor="text1"/>
                <w:lang w:eastAsia="en-AU"/>
              </w:rPr>
              <w:t xml:space="preserve">when it </w:t>
            </w:r>
            <w:r w:rsidR="00522FD1">
              <w:rPr>
                <w:color w:val="000000" w:themeColor="text1"/>
                <w:lang w:eastAsia="en-AU"/>
              </w:rPr>
              <w:t xml:space="preserve">would </w:t>
            </w:r>
            <w:r w:rsidR="004F4A8F">
              <w:rPr>
                <w:color w:val="000000" w:themeColor="text1"/>
                <w:lang w:eastAsia="en-AU"/>
              </w:rPr>
              <w:t xml:space="preserve">be delivered and </w:t>
            </w:r>
            <w:r w:rsidR="00E242C6">
              <w:rPr>
                <w:color w:val="000000" w:themeColor="text1"/>
                <w:lang w:eastAsia="en-AU"/>
              </w:rPr>
              <w:t xml:space="preserve">to </w:t>
            </w:r>
            <w:r w:rsidR="004F4A8F">
              <w:rPr>
                <w:color w:val="000000" w:themeColor="text1"/>
                <w:lang w:eastAsia="en-AU"/>
              </w:rPr>
              <w:t>show the speed of tangible changes.</w:t>
            </w:r>
            <w:r w:rsidR="005A4946">
              <w:rPr>
                <w:color w:val="000000" w:themeColor="text1"/>
                <w:lang w:eastAsia="en-AU"/>
              </w:rPr>
              <w:t xml:space="preserve"> </w:t>
            </w:r>
            <w:r w:rsidR="00B147EF">
              <w:rPr>
                <w:color w:val="000000" w:themeColor="text1"/>
                <w:lang w:eastAsia="en-AU"/>
              </w:rPr>
              <w:t xml:space="preserve">ESO explained that we were learning </w:t>
            </w:r>
            <w:r w:rsidR="00A87E53">
              <w:rPr>
                <w:color w:val="000000" w:themeColor="text1"/>
                <w:lang w:eastAsia="en-AU"/>
              </w:rPr>
              <w:t xml:space="preserve">how to better engage stakeholders so we pushed back projects to incorporate learning. </w:t>
            </w:r>
            <w:r w:rsidR="007A59CE">
              <w:rPr>
                <w:color w:val="000000" w:themeColor="text1"/>
                <w:lang w:eastAsia="en-AU"/>
              </w:rPr>
              <w:t xml:space="preserve">ESO </w:t>
            </w:r>
            <w:r w:rsidR="00522FD1">
              <w:rPr>
                <w:color w:val="000000" w:themeColor="text1"/>
                <w:lang w:eastAsia="en-AU"/>
              </w:rPr>
              <w:t>explained the rationale for pushing back</w:t>
            </w:r>
            <w:r w:rsidR="00D05936">
              <w:rPr>
                <w:color w:val="000000" w:themeColor="text1"/>
                <w:lang w:eastAsia="en-AU"/>
              </w:rPr>
              <w:t xml:space="preserve"> the Mersey pathfinder.</w:t>
            </w:r>
            <w:r w:rsidR="00487F9B">
              <w:rPr>
                <w:color w:val="000000" w:themeColor="text1"/>
                <w:lang w:eastAsia="en-AU"/>
              </w:rPr>
              <w:t xml:space="preserve"> The pathfinders will </w:t>
            </w:r>
            <w:r w:rsidR="00522FD1">
              <w:rPr>
                <w:color w:val="000000" w:themeColor="text1"/>
                <w:lang w:eastAsia="en-AU"/>
              </w:rPr>
              <w:t xml:space="preserve">eventually </w:t>
            </w:r>
            <w:r w:rsidR="00487F9B">
              <w:rPr>
                <w:color w:val="000000" w:themeColor="text1"/>
                <w:lang w:eastAsia="en-AU"/>
              </w:rPr>
              <w:t>merge into NOA</w:t>
            </w:r>
            <w:r w:rsidR="00522FD1">
              <w:rPr>
                <w:color w:val="000000" w:themeColor="text1"/>
                <w:lang w:eastAsia="en-AU"/>
              </w:rPr>
              <w:t>.</w:t>
            </w:r>
          </w:p>
          <w:p w14:paraId="41987A5C" w14:textId="77777777" w:rsidR="00B91F08" w:rsidRPr="005A4946" w:rsidRDefault="00B91F08" w:rsidP="005A4946">
            <w:pPr>
              <w:pStyle w:val="ListParagraph"/>
              <w:spacing w:after="0"/>
              <w:ind w:left="360"/>
              <w:rPr>
                <w:color w:val="000000" w:themeColor="text1"/>
                <w:lang w:eastAsia="en-AU"/>
              </w:rPr>
            </w:pPr>
            <w:r w:rsidRPr="005A4946">
              <w:rPr>
                <w:color w:val="000000" w:themeColor="text1"/>
                <w:lang w:eastAsia="en-AU"/>
              </w:rPr>
              <w:t xml:space="preserve">                                          </w:t>
            </w:r>
          </w:p>
          <w:p w14:paraId="119AEE4C" w14:textId="77777777" w:rsidR="00CE6196" w:rsidRPr="003A1B0E" w:rsidRDefault="003A1B0E" w:rsidP="003A1B0E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3A1B0E">
              <w:rPr>
                <w:b/>
                <w:bCs/>
                <w:color w:val="000000" w:themeColor="text1"/>
              </w:rPr>
              <w:t xml:space="preserve">Seek further clarification on Ofgem </w:t>
            </w:r>
            <w:proofErr w:type="spellStart"/>
            <w:r w:rsidRPr="003A1B0E">
              <w:rPr>
                <w:b/>
                <w:bCs/>
                <w:color w:val="000000" w:themeColor="text1"/>
              </w:rPr>
              <w:t>mid year</w:t>
            </w:r>
            <w:proofErr w:type="spellEnd"/>
            <w:r w:rsidRPr="003A1B0E">
              <w:rPr>
                <w:b/>
                <w:bCs/>
                <w:color w:val="000000" w:themeColor="text1"/>
              </w:rPr>
              <w:t xml:space="preserve"> report questions </w:t>
            </w:r>
          </w:p>
          <w:p w14:paraId="7FB48909" w14:textId="77777777" w:rsidR="00794E46" w:rsidRDefault="00794E46" w:rsidP="00E66A24">
            <w:pPr>
              <w:pStyle w:val="ListParagraph"/>
              <w:ind w:left="360"/>
              <w:rPr>
                <w:color w:val="000000" w:themeColor="text1"/>
                <w:lang w:val="en-AU" w:eastAsia="en-AU"/>
              </w:rPr>
            </w:pPr>
          </w:p>
          <w:p w14:paraId="4BFA1DA6" w14:textId="77777777" w:rsidR="00734FE9" w:rsidRDefault="00734FE9" w:rsidP="00E66A24">
            <w:pPr>
              <w:pStyle w:val="ListParagraph"/>
              <w:ind w:left="360"/>
              <w:rPr>
                <w:color w:val="000000" w:themeColor="text1"/>
                <w:lang w:val="en-AU" w:eastAsia="en-AU"/>
              </w:rPr>
            </w:pPr>
            <w:r>
              <w:rPr>
                <w:color w:val="000000" w:themeColor="text1"/>
                <w:lang w:val="en-AU" w:eastAsia="en-AU"/>
              </w:rPr>
              <w:t>None required.</w:t>
            </w:r>
          </w:p>
          <w:p w14:paraId="55503B0D" w14:textId="77777777" w:rsidR="003A1B0E" w:rsidRDefault="003A1B0E" w:rsidP="00E66A24">
            <w:pPr>
              <w:pStyle w:val="ListParagraph"/>
              <w:ind w:left="360"/>
              <w:rPr>
                <w:color w:val="000000" w:themeColor="text1"/>
                <w:lang w:val="en-AU" w:eastAsia="en-AU"/>
              </w:rPr>
            </w:pPr>
          </w:p>
          <w:p w14:paraId="01F64216" w14:textId="77777777" w:rsidR="00734FE9" w:rsidRPr="00734FE9" w:rsidRDefault="00734FE9" w:rsidP="00895836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34FE9">
              <w:rPr>
                <w:b/>
                <w:bCs/>
                <w:color w:val="000000" w:themeColor="text1"/>
              </w:rPr>
              <w:t xml:space="preserve"> Final update on arrangements for Wednesday 13th Nov</w:t>
            </w:r>
            <w:r w:rsidR="00865F8C" w:rsidRPr="00734FE9">
              <w:rPr>
                <w:color w:val="000000" w:themeColor="text1"/>
              </w:rPr>
              <w:t xml:space="preserve">    </w:t>
            </w:r>
          </w:p>
          <w:p w14:paraId="5F51E9BB" w14:textId="77777777" w:rsidR="00734FE9" w:rsidRDefault="00734FE9" w:rsidP="00734FE9">
            <w:pPr>
              <w:pStyle w:val="ListParagraph"/>
              <w:ind w:left="360"/>
            </w:pPr>
          </w:p>
          <w:p w14:paraId="64809D6D" w14:textId="77777777" w:rsidR="00734FE9" w:rsidRDefault="00734FE9" w:rsidP="00734FE9">
            <w:pPr>
              <w:pStyle w:val="ListParagraph"/>
              <w:ind w:left="360"/>
              <w:rPr>
                <w:color w:val="000000" w:themeColor="text1"/>
              </w:rPr>
            </w:pPr>
            <w:r>
              <w:t>Ofgem and ESO finalised the format and logistics of the event on the 13</w:t>
            </w:r>
            <w:r>
              <w:rPr>
                <w:vertAlign w:val="superscript"/>
              </w:rPr>
              <w:t>th</w:t>
            </w:r>
            <w:r>
              <w:t xml:space="preserve"> November 2019.</w:t>
            </w:r>
          </w:p>
          <w:p w14:paraId="35243E0F" w14:textId="77777777" w:rsidR="00476A86" w:rsidRPr="00476A86" w:rsidRDefault="00476A86" w:rsidP="00476A86">
            <w:pPr>
              <w:pStyle w:val="ListParagraph"/>
              <w:ind w:left="360"/>
              <w:rPr>
                <w:color w:val="000000" w:themeColor="text1"/>
              </w:rPr>
            </w:pPr>
          </w:p>
          <w:p w14:paraId="4A6D88A9" w14:textId="77777777" w:rsidR="00865F8C" w:rsidRPr="00476A86" w:rsidRDefault="1D17A1BE" w:rsidP="00476A86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476A86">
              <w:rPr>
                <w:b/>
                <w:bCs/>
              </w:rPr>
              <w:t xml:space="preserve">AOB    </w:t>
            </w:r>
          </w:p>
          <w:p w14:paraId="6720929C" w14:textId="77777777" w:rsidR="00734FE9" w:rsidRDefault="00734FE9" w:rsidP="00C30F82">
            <w:pPr>
              <w:pStyle w:val="ListParagraph"/>
              <w:ind w:left="360"/>
            </w:pPr>
          </w:p>
          <w:p w14:paraId="67A554FE" w14:textId="77777777" w:rsidR="00265779" w:rsidRPr="00BD5CAF" w:rsidRDefault="00DF0F57" w:rsidP="00BD5CAF">
            <w:pPr>
              <w:pStyle w:val="ListParagraph"/>
              <w:spacing w:after="0"/>
              <w:ind w:left="360"/>
              <w:rPr>
                <w:color w:val="000000" w:themeColor="text1"/>
                <w:lang w:eastAsia="en-AU"/>
              </w:rPr>
            </w:pPr>
            <w:r w:rsidRPr="00BD5CAF">
              <w:rPr>
                <w:color w:val="000000" w:themeColor="text1"/>
                <w:lang w:eastAsia="en-AU"/>
              </w:rPr>
              <w:t xml:space="preserve">The panel scores will be finalised on the 19th November, then a draft panel report will </w:t>
            </w:r>
            <w:r w:rsidR="00672401" w:rsidRPr="00BD5CAF">
              <w:rPr>
                <w:color w:val="000000" w:themeColor="text1"/>
                <w:lang w:eastAsia="en-AU"/>
              </w:rPr>
              <w:t xml:space="preserve">be distributed </w:t>
            </w:r>
            <w:r w:rsidR="00AA340C" w:rsidRPr="00BD5CAF">
              <w:rPr>
                <w:color w:val="000000" w:themeColor="text1"/>
                <w:lang w:eastAsia="en-AU"/>
              </w:rPr>
              <w:t xml:space="preserve">to give the members </w:t>
            </w:r>
            <w:r w:rsidR="00FC1CC1" w:rsidRPr="00BD5CAF">
              <w:rPr>
                <w:color w:val="000000" w:themeColor="text1"/>
                <w:lang w:eastAsia="en-AU"/>
              </w:rPr>
              <w:t xml:space="preserve">time to review. </w:t>
            </w:r>
            <w:r w:rsidR="00EA59CE" w:rsidRPr="00BD5CAF">
              <w:rPr>
                <w:color w:val="000000" w:themeColor="text1"/>
                <w:lang w:eastAsia="en-AU"/>
              </w:rPr>
              <w:t>It will be published early</w:t>
            </w:r>
            <w:r w:rsidR="00522FD1" w:rsidRPr="00BD5CAF">
              <w:rPr>
                <w:color w:val="000000" w:themeColor="text1"/>
                <w:lang w:eastAsia="en-AU"/>
              </w:rPr>
              <w:t xml:space="preserve"> in</w:t>
            </w:r>
            <w:r w:rsidR="00EA59CE" w:rsidRPr="00BD5CAF">
              <w:rPr>
                <w:color w:val="000000" w:themeColor="text1"/>
                <w:lang w:eastAsia="en-AU"/>
              </w:rPr>
              <w:t xml:space="preserve"> December</w:t>
            </w:r>
            <w:r w:rsidR="00FD1F9D" w:rsidRPr="00BD5CAF">
              <w:rPr>
                <w:color w:val="000000" w:themeColor="text1"/>
                <w:lang w:eastAsia="en-AU"/>
              </w:rPr>
              <w:t>, Ofgem will send ESO an early draft</w:t>
            </w:r>
            <w:r w:rsidR="00A250C5" w:rsidRPr="00BD5CAF">
              <w:rPr>
                <w:color w:val="000000" w:themeColor="text1"/>
                <w:lang w:eastAsia="en-AU"/>
              </w:rPr>
              <w:t xml:space="preserve"> and </w:t>
            </w:r>
            <w:r w:rsidR="00522FD1" w:rsidRPr="00BD5CAF">
              <w:rPr>
                <w:color w:val="000000" w:themeColor="text1"/>
                <w:lang w:eastAsia="en-AU"/>
              </w:rPr>
              <w:t>confirm</w:t>
            </w:r>
            <w:r w:rsidR="00A250C5" w:rsidRPr="00BD5CAF">
              <w:rPr>
                <w:color w:val="000000" w:themeColor="text1"/>
                <w:lang w:eastAsia="en-AU"/>
              </w:rPr>
              <w:t xml:space="preserve"> when the final report has been published</w:t>
            </w:r>
            <w:r w:rsidR="00522FD1" w:rsidRPr="00BD5CAF">
              <w:rPr>
                <w:color w:val="000000" w:themeColor="text1"/>
                <w:lang w:eastAsia="en-AU"/>
              </w:rPr>
              <w:t>.</w:t>
            </w:r>
            <w:r w:rsidR="00A250C5" w:rsidRPr="00BD5CAF">
              <w:rPr>
                <w:color w:val="000000" w:themeColor="text1"/>
                <w:lang w:eastAsia="en-AU"/>
              </w:rPr>
              <w:t xml:space="preserve"> </w:t>
            </w:r>
          </w:p>
          <w:p w14:paraId="4CBA8ACF" w14:textId="77777777" w:rsidR="00A250C5" w:rsidRPr="00BD5CAF" w:rsidRDefault="00A250C5" w:rsidP="00BD5CAF">
            <w:pPr>
              <w:pStyle w:val="ListParagraph"/>
              <w:spacing w:after="0"/>
              <w:ind w:left="360"/>
              <w:rPr>
                <w:color w:val="000000" w:themeColor="text1"/>
                <w:lang w:eastAsia="en-AU"/>
              </w:rPr>
            </w:pPr>
          </w:p>
          <w:p w14:paraId="6B7BD6C4" w14:textId="499B8B7B" w:rsidR="006F08B1" w:rsidRDefault="00E67C45" w:rsidP="006F08B1">
            <w:pPr>
              <w:pStyle w:val="ListParagraph"/>
              <w:ind w:left="360"/>
              <w:rPr>
                <w:rFonts w:cs="Arial"/>
                <w:sz w:val="20"/>
                <w:szCs w:val="20"/>
              </w:rPr>
            </w:pPr>
            <w:r w:rsidRPr="00BD5CAF">
              <w:rPr>
                <w:color w:val="000000" w:themeColor="text1"/>
                <w:lang w:eastAsia="en-AU"/>
              </w:rPr>
              <w:lastRenderedPageBreak/>
              <w:t xml:space="preserve">ESO </w:t>
            </w:r>
            <w:r w:rsidR="00522FD1" w:rsidRPr="00BD5CAF">
              <w:rPr>
                <w:color w:val="000000" w:themeColor="text1"/>
                <w:lang w:eastAsia="en-AU"/>
              </w:rPr>
              <w:t xml:space="preserve">suggested that, going forward, the scoring system could be amended to be from -2 to + 2 rather than from 0 to 5, with baseline performance (no reward) represented by 0 rather than by 3/5. Ofgem agreed to consider this for the future. </w:t>
            </w:r>
          </w:p>
          <w:p w14:paraId="08EB07D4" w14:textId="77777777" w:rsidR="00A250C5" w:rsidRPr="002355A5" w:rsidRDefault="00A250C5" w:rsidP="00734FE9">
            <w:pPr>
              <w:pStyle w:val="ListParagraph"/>
              <w:ind w:left="360"/>
              <w:rPr>
                <w:rFonts w:cs="Arial"/>
                <w:sz w:val="20"/>
                <w:szCs w:val="20"/>
              </w:rPr>
            </w:pPr>
          </w:p>
        </w:tc>
      </w:tr>
    </w:tbl>
    <w:p w14:paraId="54882AE4" w14:textId="77777777" w:rsidR="00DA3CB6" w:rsidRPr="00C121BA" w:rsidRDefault="00DA3CB6" w:rsidP="24173B80">
      <w:pPr>
        <w:keepLines w:val="0"/>
        <w:spacing w:before="0" w:beforeAutospacing="0" w:after="0" w:afterAutospacing="0"/>
        <w:rPr>
          <w:rFonts w:cs="Arial"/>
          <w:b/>
          <w:sz w:val="20"/>
          <w:szCs w:val="20"/>
          <w:lang w:val="en-GB"/>
        </w:rPr>
      </w:pPr>
      <w:r w:rsidRPr="00C121BA">
        <w:rPr>
          <w:rFonts w:cs="Arial"/>
          <w:b/>
          <w:sz w:val="20"/>
          <w:szCs w:val="20"/>
          <w:lang w:val="en-GB"/>
        </w:rPr>
        <w:lastRenderedPageBreak/>
        <w:br w:type="page"/>
      </w:r>
      <w:r w:rsidRPr="00C121BA">
        <w:rPr>
          <w:rFonts w:cs="Arial"/>
          <w:b/>
          <w:sz w:val="20"/>
          <w:szCs w:val="20"/>
          <w:lang w:val="en-GB"/>
        </w:rPr>
        <w:lastRenderedPageBreak/>
        <w:t>Appendix 1 – Timetable</w:t>
      </w:r>
    </w:p>
    <w:p w14:paraId="06E23E21" w14:textId="77777777" w:rsidR="0070068E" w:rsidRPr="00C121BA" w:rsidRDefault="0070068E" w:rsidP="24173B80">
      <w:pPr>
        <w:keepLines w:val="0"/>
        <w:spacing w:before="0" w:beforeAutospacing="0" w:after="0" w:afterAutospacing="0"/>
        <w:rPr>
          <w:rFonts w:cs="Arial"/>
          <w:b/>
          <w:sz w:val="20"/>
          <w:szCs w:val="20"/>
          <w:lang w:val="en-GB"/>
        </w:rPr>
      </w:pPr>
    </w:p>
    <w:p w14:paraId="30762E8A" w14:textId="77777777" w:rsidR="0070068E" w:rsidRPr="00C121BA" w:rsidRDefault="0070068E" w:rsidP="24173B80">
      <w:pPr>
        <w:pStyle w:val="ListParagraph"/>
        <w:numPr>
          <w:ilvl w:val="0"/>
          <w:numId w:val="1"/>
        </w:numPr>
        <w:spacing w:after="0" w:line="240" w:lineRule="auto"/>
        <w:ind w:firstLine="0"/>
        <w:rPr>
          <w:rFonts w:cs="Arial"/>
          <w:b/>
          <w:sz w:val="20"/>
          <w:szCs w:val="20"/>
        </w:rPr>
      </w:pPr>
      <w:r w:rsidRPr="00C121BA">
        <w:rPr>
          <w:rFonts w:cs="Arial"/>
          <w:b/>
          <w:sz w:val="20"/>
          <w:szCs w:val="20"/>
        </w:rPr>
        <w:t xml:space="preserve">Annual Requirements </w:t>
      </w:r>
    </w:p>
    <w:p w14:paraId="40E4209A" w14:textId="77777777" w:rsidR="00DA3CB6" w:rsidRPr="00C121BA" w:rsidRDefault="00DA3CB6" w:rsidP="24173B80">
      <w:pPr>
        <w:rPr>
          <w:rFonts w:cs="Arial"/>
          <w:b/>
          <w:sz w:val="20"/>
          <w:szCs w:val="20"/>
          <w:lang w:val="en-GB"/>
        </w:rPr>
      </w:pPr>
      <w:r w:rsidRPr="00C121BA">
        <w:rPr>
          <w:rFonts w:cs="Arial"/>
          <w:noProof/>
          <w:sz w:val="20"/>
          <w:szCs w:val="20"/>
          <w:lang w:val="en-GB" w:eastAsia="en-GB"/>
        </w:rPr>
        <w:drawing>
          <wp:inline distT="0" distB="0" distL="0" distR="0" wp14:anchorId="327CE2CE" wp14:editId="7C15BF57">
            <wp:extent cx="5605670" cy="3066027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3352" t="26365" r="5720" b="15440"/>
                    <a:stretch/>
                  </pic:blipFill>
                  <pic:spPr bwMode="auto">
                    <a:xfrm>
                      <a:off x="0" y="0"/>
                      <a:ext cx="5613272" cy="3070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C37DD4" w14:textId="77777777" w:rsidR="0070068E" w:rsidRPr="00C121BA" w:rsidRDefault="0070068E" w:rsidP="24173B80">
      <w:pPr>
        <w:pStyle w:val="ListParagraph"/>
        <w:numPr>
          <w:ilvl w:val="0"/>
          <w:numId w:val="1"/>
        </w:numPr>
        <w:spacing w:line="240" w:lineRule="auto"/>
        <w:ind w:firstLine="0"/>
        <w:rPr>
          <w:rFonts w:cs="Arial"/>
          <w:b/>
          <w:sz w:val="20"/>
          <w:szCs w:val="20"/>
        </w:rPr>
      </w:pPr>
      <w:r w:rsidRPr="00C121BA">
        <w:rPr>
          <w:rFonts w:cs="Arial"/>
          <w:b/>
          <w:sz w:val="20"/>
          <w:szCs w:val="20"/>
        </w:rPr>
        <w:t>Monthly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2"/>
        <w:gridCol w:w="2654"/>
        <w:gridCol w:w="1610"/>
        <w:gridCol w:w="2132"/>
      </w:tblGrid>
      <w:tr w:rsidR="0070068E" w:rsidRPr="00C121BA" w14:paraId="1B0E2904" w14:textId="77777777" w:rsidTr="24173B80">
        <w:tc>
          <w:tcPr>
            <w:tcW w:w="2132" w:type="dxa"/>
          </w:tcPr>
          <w:p w14:paraId="08BEE53E" w14:textId="77777777" w:rsidR="0070068E" w:rsidRPr="00C121BA" w:rsidRDefault="0070068E" w:rsidP="24173B80">
            <w:pPr>
              <w:rPr>
                <w:rFonts w:cs="Arial"/>
                <w:b/>
                <w:lang w:val="en-GB"/>
              </w:rPr>
            </w:pPr>
            <w:r w:rsidRPr="00C121BA">
              <w:rPr>
                <w:rFonts w:cs="Arial"/>
                <w:b/>
                <w:lang w:val="en-GB"/>
              </w:rPr>
              <w:t>Date</w:t>
            </w:r>
          </w:p>
        </w:tc>
        <w:tc>
          <w:tcPr>
            <w:tcW w:w="2654" w:type="dxa"/>
          </w:tcPr>
          <w:p w14:paraId="1E6D29FB" w14:textId="77777777" w:rsidR="0070068E" w:rsidRPr="00C121BA" w:rsidRDefault="0070068E" w:rsidP="24173B80">
            <w:pPr>
              <w:rPr>
                <w:rFonts w:cs="Arial"/>
                <w:b/>
                <w:lang w:val="en-GB"/>
              </w:rPr>
            </w:pPr>
            <w:r w:rsidRPr="00C121BA">
              <w:rPr>
                <w:rFonts w:cs="Arial"/>
                <w:b/>
                <w:lang w:val="en-GB"/>
              </w:rPr>
              <w:t>Action</w:t>
            </w:r>
          </w:p>
        </w:tc>
        <w:tc>
          <w:tcPr>
            <w:tcW w:w="1610" w:type="dxa"/>
          </w:tcPr>
          <w:p w14:paraId="5CF04D56" w14:textId="77777777" w:rsidR="0070068E" w:rsidRPr="00C121BA" w:rsidRDefault="0070068E" w:rsidP="24173B80">
            <w:pPr>
              <w:rPr>
                <w:rFonts w:cs="Arial"/>
                <w:b/>
                <w:lang w:val="en-GB"/>
              </w:rPr>
            </w:pPr>
            <w:r w:rsidRPr="00C121BA">
              <w:rPr>
                <w:rFonts w:cs="Arial"/>
                <w:b/>
                <w:lang w:val="en-GB"/>
              </w:rPr>
              <w:t>Owner</w:t>
            </w:r>
          </w:p>
        </w:tc>
        <w:tc>
          <w:tcPr>
            <w:tcW w:w="2132" w:type="dxa"/>
          </w:tcPr>
          <w:p w14:paraId="09D3BD34" w14:textId="77777777" w:rsidR="0070068E" w:rsidRPr="00C121BA" w:rsidRDefault="0070068E" w:rsidP="24173B80">
            <w:pPr>
              <w:rPr>
                <w:rFonts w:cs="Arial"/>
                <w:b/>
                <w:lang w:val="en-GB"/>
              </w:rPr>
            </w:pPr>
            <w:r w:rsidRPr="00C121BA">
              <w:rPr>
                <w:rFonts w:cs="Arial"/>
                <w:b/>
                <w:lang w:val="en-GB"/>
              </w:rPr>
              <w:t>Note</w:t>
            </w:r>
          </w:p>
        </w:tc>
      </w:tr>
      <w:tr w:rsidR="0070068E" w:rsidRPr="00C121BA" w14:paraId="270D2EF9" w14:textId="77777777" w:rsidTr="00B34915">
        <w:tc>
          <w:tcPr>
            <w:tcW w:w="2132" w:type="dxa"/>
            <w:vAlign w:val="center"/>
          </w:tcPr>
          <w:p w14:paraId="09484FFB" w14:textId="77777777" w:rsidR="0070068E" w:rsidRPr="00C121BA" w:rsidRDefault="0070068E">
            <w:pPr>
              <w:rPr>
                <w:rFonts w:cs="Arial"/>
                <w:lang w:val="en-GB"/>
              </w:rPr>
            </w:pPr>
            <w:r w:rsidRPr="00C121BA">
              <w:rPr>
                <w:rFonts w:cs="Arial"/>
                <w:lang w:val="en-GB"/>
              </w:rPr>
              <w:t>15</w:t>
            </w:r>
            <w:r w:rsidRPr="00C121BA">
              <w:rPr>
                <w:rFonts w:cs="Arial"/>
                <w:vertAlign w:val="superscript"/>
                <w:lang w:val="en-GB"/>
              </w:rPr>
              <w:t>th</w:t>
            </w:r>
            <w:r w:rsidRPr="00C121BA">
              <w:rPr>
                <w:rFonts w:cs="Arial"/>
                <w:lang w:val="en-GB"/>
              </w:rPr>
              <w:t xml:space="preserve"> Working Day</w:t>
            </w:r>
          </w:p>
        </w:tc>
        <w:tc>
          <w:tcPr>
            <w:tcW w:w="2654" w:type="dxa"/>
            <w:vAlign w:val="center"/>
          </w:tcPr>
          <w:p w14:paraId="3630F546" w14:textId="77777777" w:rsidR="0070068E" w:rsidRPr="00C121BA" w:rsidRDefault="0070068E">
            <w:pPr>
              <w:rPr>
                <w:rFonts w:cs="Arial"/>
                <w:lang w:val="en-GB"/>
              </w:rPr>
            </w:pPr>
            <w:r w:rsidRPr="00C121BA">
              <w:rPr>
                <w:rFonts w:cs="Arial"/>
                <w:lang w:val="en-GB"/>
              </w:rPr>
              <w:t>Monthly report submission date</w:t>
            </w:r>
          </w:p>
        </w:tc>
        <w:tc>
          <w:tcPr>
            <w:tcW w:w="1610" w:type="dxa"/>
            <w:vAlign w:val="center"/>
          </w:tcPr>
          <w:p w14:paraId="0F3E54E6" w14:textId="77777777" w:rsidR="0070068E" w:rsidRPr="00C121BA" w:rsidRDefault="0070068E" w:rsidP="00B34915">
            <w:pPr>
              <w:jc w:val="center"/>
              <w:rPr>
                <w:rFonts w:cs="Arial"/>
                <w:lang w:val="en-GB"/>
              </w:rPr>
            </w:pPr>
            <w:r w:rsidRPr="00C121BA">
              <w:rPr>
                <w:rFonts w:cs="Arial"/>
                <w:lang w:val="en-GB"/>
              </w:rPr>
              <w:t>ESO</w:t>
            </w:r>
          </w:p>
        </w:tc>
        <w:tc>
          <w:tcPr>
            <w:tcW w:w="2132" w:type="dxa"/>
          </w:tcPr>
          <w:p w14:paraId="654BC68E" w14:textId="77777777" w:rsidR="0070068E" w:rsidRPr="00C121BA" w:rsidRDefault="0070068E" w:rsidP="24173B80">
            <w:pPr>
              <w:rPr>
                <w:rFonts w:cs="Arial"/>
                <w:lang w:val="en-GB"/>
              </w:rPr>
            </w:pPr>
          </w:p>
        </w:tc>
      </w:tr>
      <w:tr w:rsidR="0070068E" w:rsidRPr="00C121BA" w14:paraId="55095086" w14:textId="77777777" w:rsidTr="00B34915">
        <w:tc>
          <w:tcPr>
            <w:tcW w:w="2132" w:type="dxa"/>
            <w:vAlign w:val="center"/>
          </w:tcPr>
          <w:p w14:paraId="3FCFC3D3" w14:textId="77777777" w:rsidR="0070068E" w:rsidRPr="00C121BA" w:rsidRDefault="0070068E">
            <w:pPr>
              <w:rPr>
                <w:rFonts w:cs="Arial"/>
                <w:lang w:val="en-GB"/>
              </w:rPr>
            </w:pPr>
            <w:r w:rsidRPr="00C121BA">
              <w:rPr>
                <w:rFonts w:cs="Arial"/>
                <w:lang w:val="en-GB"/>
              </w:rPr>
              <w:t>No later than 5 Working Days before meeting</w:t>
            </w:r>
          </w:p>
        </w:tc>
        <w:tc>
          <w:tcPr>
            <w:tcW w:w="2654" w:type="dxa"/>
            <w:vAlign w:val="center"/>
          </w:tcPr>
          <w:p w14:paraId="2098466D" w14:textId="77777777" w:rsidR="0070068E" w:rsidRPr="00C121BA" w:rsidRDefault="0070068E">
            <w:pPr>
              <w:rPr>
                <w:rFonts w:cs="Arial"/>
                <w:lang w:val="en-GB"/>
              </w:rPr>
            </w:pPr>
            <w:r w:rsidRPr="00C121BA">
              <w:rPr>
                <w:rFonts w:cs="Arial"/>
                <w:lang w:val="en-GB"/>
              </w:rPr>
              <w:t>Provide the Chair with meeting papers</w:t>
            </w:r>
          </w:p>
        </w:tc>
        <w:tc>
          <w:tcPr>
            <w:tcW w:w="1610" w:type="dxa"/>
            <w:vAlign w:val="center"/>
          </w:tcPr>
          <w:p w14:paraId="0CD29619" w14:textId="77777777" w:rsidR="0070068E" w:rsidRPr="00C121BA" w:rsidRDefault="0070068E" w:rsidP="00B34915">
            <w:pPr>
              <w:jc w:val="center"/>
              <w:rPr>
                <w:rFonts w:cs="Arial"/>
                <w:lang w:val="en-GB"/>
              </w:rPr>
            </w:pPr>
            <w:r w:rsidRPr="00C121BA">
              <w:rPr>
                <w:rFonts w:cs="Arial"/>
                <w:lang w:val="en-GB"/>
              </w:rPr>
              <w:t>ESO</w:t>
            </w:r>
          </w:p>
        </w:tc>
        <w:tc>
          <w:tcPr>
            <w:tcW w:w="2132" w:type="dxa"/>
          </w:tcPr>
          <w:p w14:paraId="05D4F00A" w14:textId="77777777" w:rsidR="0070068E" w:rsidRPr="00C121BA" w:rsidRDefault="0070068E" w:rsidP="24173B80">
            <w:pPr>
              <w:rPr>
                <w:rFonts w:cs="Arial"/>
                <w:lang w:val="en-GB"/>
              </w:rPr>
            </w:pPr>
          </w:p>
        </w:tc>
      </w:tr>
      <w:tr w:rsidR="0070068E" w:rsidRPr="00C121BA" w14:paraId="51CC7521" w14:textId="77777777" w:rsidTr="00B34915">
        <w:tc>
          <w:tcPr>
            <w:tcW w:w="2132" w:type="dxa"/>
            <w:vAlign w:val="center"/>
          </w:tcPr>
          <w:p w14:paraId="61631AEA" w14:textId="77777777" w:rsidR="0070068E" w:rsidRPr="00C121BA" w:rsidRDefault="0070068E">
            <w:pPr>
              <w:rPr>
                <w:rFonts w:cs="Arial"/>
                <w:lang w:val="en-GB"/>
              </w:rPr>
            </w:pPr>
            <w:r w:rsidRPr="00C121BA">
              <w:rPr>
                <w:rFonts w:cs="Arial"/>
                <w:lang w:val="en-GB"/>
              </w:rPr>
              <w:t>20</w:t>
            </w:r>
            <w:r w:rsidRPr="00C121BA">
              <w:rPr>
                <w:rFonts w:cs="Arial"/>
                <w:vertAlign w:val="superscript"/>
                <w:lang w:val="en-GB"/>
              </w:rPr>
              <w:t>th</w:t>
            </w:r>
            <w:r w:rsidRPr="00C121BA">
              <w:rPr>
                <w:rFonts w:cs="Arial"/>
                <w:lang w:val="en-GB"/>
              </w:rPr>
              <w:t xml:space="preserve"> Working Day </w:t>
            </w:r>
          </w:p>
        </w:tc>
        <w:tc>
          <w:tcPr>
            <w:tcW w:w="2654" w:type="dxa"/>
            <w:vAlign w:val="center"/>
          </w:tcPr>
          <w:p w14:paraId="320C74FA" w14:textId="77777777" w:rsidR="0070068E" w:rsidRPr="00C121BA" w:rsidRDefault="0070068E">
            <w:pPr>
              <w:rPr>
                <w:rFonts w:cs="Arial"/>
                <w:lang w:val="en-GB"/>
              </w:rPr>
            </w:pPr>
            <w:r w:rsidRPr="00C121BA">
              <w:rPr>
                <w:rFonts w:cs="Arial"/>
                <w:lang w:val="en-GB"/>
              </w:rPr>
              <w:t>Monthly Monitoring Meeting</w:t>
            </w:r>
          </w:p>
        </w:tc>
        <w:tc>
          <w:tcPr>
            <w:tcW w:w="1610" w:type="dxa"/>
            <w:vAlign w:val="center"/>
          </w:tcPr>
          <w:p w14:paraId="22F058DD" w14:textId="77777777" w:rsidR="0070068E" w:rsidRPr="00C121BA" w:rsidRDefault="0070068E" w:rsidP="00B34915">
            <w:pPr>
              <w:jc w:val="center"/>
              <w:rPr>
                <w:rFonts w:cs="Arial"/>
                <w:lang w:val="en-GB"/>
              </w:rPr>
            </w:pPr>
            <w:r w:rsidRPr="00C121BA">
              <w:rPr>
                <w:rFonts w:cs="Arial"/>
                <w:lang w:val="en-GB"/>
              </w:rPr>
              <w:t>Technical Secretary</w:t>
            </w:r>
          </w:p>
        </w:tc>
        <w:tc>
          <w:tcPr>
            <w:tcW w:w="2132" w:type="dxa"/>
          </w:tcPr>
          <w:p w14:paraId="798DD90B" w14:textId="77777777" w:rsidR="0070068E" w:rsidRPr="00C121BA" w:rsidRDefault="0070068E" w:rsidP="24173B80">
            <w:pPr>
              <w:rPr>
                <w:rFonts w:cs="Arial"/>
                <w:lang w:val="en-GB"/>
              </w:rPr>
            </w:pPr>
          </w:p>
        </w:tc>
      </w:tr>
      <w:tr w:rsidR="0070068E" w:rsidRPr="00C121BA" w14:paraId="16B3FA8A" w14:textId="77777777" w:rsidTr="00B34915">
        <w:tc>
          <w:tcPr>
            <w:tcW w:w="2132" w:type="dxa"/>
            <w:vAlign w:val="center"/>
          </w:tcPr>
          <w:p w14:paraId="2BB64FD3" w14:textId="77777777" w:rsidR="0070068E" w:rsidRPr="00C121BA" w:rsidRDefault="0070068E">
            <w:pPr>
              <w:rPr>
                <w:rFonts w:cs="Arial"/>
                <w:lang w:val="en-GB"/>
              </w:rPr>
            </w:pPr>
            <w:r w:rsidRPr="00C121BA">
              <w:rPr>
                <w:rFonts w:cs="Arial"/>
                <w:lang w:val="en-GB"/>
              </w:rPr>
              <w:t>25</w:t>
            </w:r>
            <w:r w:rsidRPr="00C121BA">
              <w:rPr>
                <w:rFonts w:cs="Arial"/>
                <w:vertAlign w:val="superscript"/>
                <w:lang w:val="en-GB"/>
              </w:rPr>
              <w:t>th</w:t>
            </w:r>
            <w:r w:rsidRPr="00C121BA">
              <w:rPr>
                <w:rFonts w:cs="Arial"/>
                <w:lang w:val="en-GB"/>
              </w:rPr>
              <w:t xml:space="preserve"> Working Day</w:t>
            </w:r>
          </w:p>
        </w:tc>
        <w:tc>
          <w:tcPr>
            <w:tcW w:w="2654" w:type="dxa"/>
            <w:vAlign w:val="center"/>
          </w:tcPr>
          <w:p w14:paraId="0C212D85" w14:textId="77777777" w:rsidR="0070068E" w:rsidRPr="00C121BA" w:rsidRDefault="0070068E">
            <w:pPr>
              <w:rPr>
                <w:rFonts w:cs="Arial"/>
                <w:lang w:val="en-GB"/>
              </w:rPr>
            </w:pPr>
            <w:r w:rsidRPr="00C121BA">
              <w:rPr>
                <w:rFonts w:cs="Arial"/>
                <w:lang w:val="en-GB"/>
              </w:rPr>
              <w:t>Minutes from meeting submitted</w:t>
            </w:r>
          </w:p>
        </w:tc>
        <w:tc>
          <w:tcPr>
            <w:tcW w:w="1610" w:type="dxa"/>
            <w:vAlign w:val="center"/>
          </w:tcPr>
          <w:p w14:paraId="6FDBEEF3" w14:textId="77777777" w:rsidR="0070068E" w:rsidRPr="00C121BA" w:rsidRDefault="0070068E" w:rsidP="00B34915">
            <w:pPr>
              <w:jc w:val="center"/>
              <w:rPr>
                <w:rFonts w:cs="Arial"/>
                <w:lang w:val="en-GB"/>
              </w:rPr>
            </w:pPr>
            <w:r w:rsidRPr="00C121BA">
              <w:rPr>
                <w:rFonts w:cs="Arial"/>
                <w:lang w:val="en-GB"/>
              </w:rPr>
              <w:t>ESO</w:t>
            </w:r>
          </w:p>
        </w:tc>
        <w:tc>
          <w:tcPr>
            <w:tcW w:w="2132" w:type="dxa"/>
          </w:tcPr>
          <w:p w14:paraId="636AE3D9" w14:textId="77777777" w:rsidR="0070068E" w:rsidRPr="00C121BA" w:rsidRDefault="0070068E" w:rsidP="24173B80">
            <w:pPr>
              <w:rPr>
                <w:rFonts w:cs="Arial"/>
                <w:lang w:val="en-GB"/>
              </w:rPr>
            </w:pPr>
          </w:p>
        </w:tc>
      </w:tr>
      <w:tr w:rsidR="0070068E" w:rsidRPr="00C121BA" w14:paraId="7E33AB34" w14:textId="77777777" w:rsidTr="00B34915">
        <w:tc>
          <w:tcPr>
            <w:tcW w:w="2132" w:type="dxa"/>
            <w:vAlign w:val="center"/>
          </w:tcPr>
          <w:p w14:paraId="119F3988" w14:textId="77777777" w:rsidR="0070068E" w:rsidRPr="00C121BA" w:rsidRDefault="0070068E">
            <w:pPr>
              <w:rPr>
                <w:rFonts w:cs="Arial"/>
                <w:lang w:val="en-GB"/>
              </w:rPr>
            </w:pPr>
            <w:r w:rsidRPr="00C121BA">
              <w:rPr>
                <w:rFonts w:cs="Arial"/>
                <w:lang w:val="en-GB"/>
              </w:rPr>
              <w:t>End of Month</w:t>
            </w:r>
          </w:p>
        </w:tc>
        <w:tc>
          <w:tcPr>
            <w:tcW w:w="2654" w:type="dxa"/>
            <w:vAlign w:val="center"/>
          </w:tcPr>
          <w:p w14:paraId="246ECF21" w14:textId="77777777" w:rsidR="0070068E" w:rsidRPr="00C121BA" w:rsidDel="00F7340D" w:rsidRDefault="0070068E">
            <w:pPr>
              <w:rPr>
                <w:rFonts w:cs="Arial"/>
                <w:lang w:val="en-GB"/>
              </w:rPr>
            </w:pPr>
            <w:r w:rsidRPr="00C121BA">
              <w:rPr>
                <w:rFonts w:cs="Arial"/>
                <w:lang w:val="en-GB"/>
              </w:rPr>
              <w:t>Chair to approve minutes from meeting</w:t>
            </w:r>
          </w:p>
        </w:tc>
        <w:tc>
          <w:tcPr>
            <w:tcW w:w="1610" w:type="dxa"/>
            <w:vAlign w:val="center"/>
          </w:tcPr>
          <w:p w14:paraId="4A0CEBB8" w14:textId="77777777" w:rsidR="0070068E" w:rsidRPr="00C121BA" w:rsidDel="00F7340D" w:rsidRDefault="0070068E" w:rsidP="00B34915">
            <w:pPr>
              <w:jc w:val="center"/>
              <w:rPr>
                <w:rFonts w:cs="Arial"/>
                <w:lang w:val="en-GB"/>
              </w:rPr>
            </w:pPr>
            <w:r w:rsidRPr="00C121BA">
              <w:rPr>
                <w:rFonts w:cs="Arial"/>
                <w:lang w:val="en-GB"/>
              </w:rPr>
              <w:t>Chair</w:t>
            </w:r>
          </w:p>
        </w:tc>
        <w:tc>
          <w:tcPr>
            <w:tcW w:w="2132" w:type="dxa"/>
          </w:tcPr>
          <w:p w14:paraId="6CBBDDAA" w14:textId="77777777" w:rsidR="0070068E" w:rsidRPr="00C121BA" w:rsidRDefault="0070068E" w:rsidP="24173B80">
            <w:pPr>
              <w:rPr>
                <w:rFonts w:cs="Arial"/>
                <w:lang w:val="en-GB"/>
              </w:rPr>
            </w:pPr>
          </w:p>
        </w:tc>
      </w:tr>
      <w:tr w:rsidR="0070068E" w:rsidRPr="00C121BA" w14:paraId="19954059" w14:textId="77777777" w:rsidTr="00B34915">
        <w:tc>
          <w:tcPr>
            <w:tcW w:w="2132" w:type="dxa"/>
            <w:vAlign w:val="center"/>
          </w:tcPr>
          <w:p w14:paraId="1F3BF230" w14:textId="77777777" w:rsidR="0070068E" w:rsidRPr="00C121BA" w:rsidRDefault="0070068E">
            <w:pPr>
              <w:rPr>
                <w:rFonts w:cs="Arial"/>
                <w:lang w:val="en-GB"/>
              </w:rPr>
            </w:pPr>
            <w:r w:rsidRPr="00C121BA">
              <w:rPr>
                <w:rFonts w:cs="Arial"/>
                <w:lang w:val="en-GB"/>
              </w:rPr>
              <w:t>2</w:t>
            </w:r>
            <w:r w:rsidRPr="00C121BA">
              <w:rPr>
                <w:rFonts w:cs="Arial"/>
                <w:vertAlign w:val="superscript"/>
                <w:lang w:val="en-GB"/>
              </w:rPr>
              <w:t>nd</w:t>
            </w:r>
            <w:r w:rsidRPr="00C121BA">
              <w:rPr>
                <w:rFonts w:cs="Arial"/>
                <w:lang w:val="en-GB"/>
              </w:rPr>
              <w:t xml:space="preserve"> Working Day after approval of the minutes</w:t>
            </w:r>
          </w:p>
        </w:tc>
        <w:tc>
          <w:tcPr>
            <w:tcW w:w="2654" w:type="dxa"/>
            <w:vAlign w:val="center"/>
          </w:tcPr>
          <w:p w14:paraId="59C6DE7F" w14:textId="77777777" w:rsidR="0070068E" w:rsidRPr="00C121BA" w:rsidRDefault="0070068E">
            <w:pPr>
              <w:rPr>
                <w:rFonts w:cs="Arial"/>
                <w:lang w:val="en-GB"/>
              </w:rPr>
            </w:pPr>
            <w:r w:rsidRPr="00C121BA">
              <w:rPr>
                <w:rFonts w:cs="Arial"/>
                <w:lang w:val="en-GB"/>
              </w:rPr>
              <w:t>Publication of meeting minutes</w:t>
            </w:r>
          </w:p>
        </w:tc>
        <w:tc>
          <w:tcPr>
            <w:tcW w:w="1610" w:type="dxa"/>
            <w:vAlign w:val="center"/>
          </w:tcPr>
          <w:p w14:paraId="3D529DC8" w14:textId="77777777" w:rsidR="0070068E" w:rsidRPr="00C121BA" w:rsidRDefault="0070068E" w:rsidP="00B34915">
            <w:pPr>
              <w:jc w:val="center"/>
              <w:rPr>
                <w:rFonts w:cs="Arial"/>
                <w:lang w:val="en-GB"/>
              </w:rPr>
            </w:pPr>
            <w:r w:rsidRPr="00C121BA">
              <w:rPr>
                <w:rFonts w:cs="Arial"/>
                <w:lang w:val="en-GB"/>
              </w:rPr>
              <w:t>Technical Secretary</w:t>
            </w:r>
          </w:p>
        </w:tc>
        <w:tc>
          <w:tcPr>
            <w:tcW w:w="2132" w:type="dxa"/>
          </w:tcPr>
          <w:p w14:paraId="257BCDDC" w14:textId="77777777" w:rsidR="0070068E" w:rsidRPr="00C121BA" w:rsidRDefault="0070068E" w:rsidP="24173B80">
            <w:pPr>
              <w:rPr>
                <w:rFonts w:cs="Arial"/>
                <w:lang w:val="en-GB"/>
              </w:rPr>
            </w:pPr>
          </w:p>
        </w:tc>
      </w:tr>
    </w:tbl>
    <w:p w14:paraId="0DD25E7E" w14:textId="77777777" w:rsidR="006E3971" w:rsidRPr="00C121BA" w:rsidRDefault="006E3971" w:rsidP="24173B80">
      <w:pPr>
        <w:pStyle w:val="ListParagraph"/>
        <w:spacing w:line="240" w:lineRule="auto"/>
        <w:rPr>
          <w:rFonts w:cs="Arial"/>
          <w:b/>
          <w:sz w:val="20"/>
          <w:szCs w:val="20"/>
        </w:rPr>
      </w:pPr>
    </w:p>
    <w:p w14:paraId="5A7FB82D" w14:textId="77777777" w:rsidR="0070068E" w:rsidRPr="00C121BA" w:rsidRDefault="00E24447" w:rsidP="24173B80">
      <w:pPr>
        <w:pStyle w:val="ListParagraph"/>
        <w:numPr>
          <w:ilvl w:val="0"/>
          <w:numId w:val="1"/>
        </w:numPr>
        <w:spacing w:line="240" w:lineRule="auto"/>
        <w:ind w:firstLine="0"/>
        <w:rPr>
          <w:rFonts w:cs="Arial"/>
          <w:b/>
          <w:sz w:val="20"/>
          <w:szCs w:val="20"/>
        </w:rPr>
      </w:pPr>
      <w:r w:rsidRPr="00C121BA">
        <w:rPr>
          <w:rFonts w:cs="Arial"/>
          <w:b/>
          <w:sz w:val="20"/>
          <w:szCs w:val="20"/>
        </w:rPr>
        <w:t>201</w:t>
      </w:r>
      <w:r>
        <w:rPr>
          <w:rFonts w:cs="Arial"/>
          <w:b/>
          <w:sz w:val="20"/>
          <w:szCs w:val="20"/>
        </w:rPr>
        <w:t>9</w:t>
      </w:r>
      <w:r w:rsidR="006E3971" w:rsidRPr="00C121BA">
        <w:rPr>
          <w:rFonts w:cs="Arial"/>
          <w:b/>
          <w:sz w:val="20"/>
          <w:szCs w:val="20"/>
        </w:rPr>
        <w:t>-</w:t>
      </w:r>
      <w:r w:rsidRPr="00C121BA">
        <w:rPr>
          <w:rFonts w:cs="Arial"/>
          <w:b/>
          <w:sz w:val="20"/>
          <w:szCs w:val="20"/>
        </w:rPr>
        <w:t>20</w:t>
      </w:r>
      <w:r>
        <w:rPr>
          <w:rFonts w:cs="Arial"/>
          <w:b/>
          <w:sz w:val="20"/>
          <w:szCs w:val="20"/>
        </w:rPr>
        <w:t>20</w:t>
      </w:r>
      <w:r w:rsidRPr="00C121BA">
        <w:rPr>
          <w:rFonts w:cs="Arial"/>
          <w:b/>
          <w:sz w:val="20"/>
          <w:szCs w:val="20"/>
        </w:rPr>
        <w:t xml:space="preserve"> </w:t>
      </w:r>
      <w:r w:rsidR="006E3971" w:rsidRPr="00C121BA">
        <w:rPr>
          <w:rFonts w:cs="Arial"/>
          <w:b/>
          <w:sz w:val="20"/>
          <w:szCs w:val="20"/>
        </w:rPr>
        <w:t xml:space="preserve">Reporting &amp; Meeting </w:t>
      </w:r>
      <w:r w:rsidR="0070068E" w:rsidRPr="00C121BA">
        <w:rPr>
          <w:rFonts w:cs="Arial"/>
          <w:b/>
          <w:sz w:val="20"/>
          <w:szCs w:val="20"/>
        </w:rPr>
        <w:t>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7"/>
        <w:gridCol w:w="2228"/>
        <w:gridCol w:w="2228"/>
        <w:gridCol w:w="2228"/>
      </w:tblGrid>
      <w:tr w:rsidR="0070068E" w:rsidRPr="00C121BA" w14:paraId="0EFCE804" w14:textId="77777777" w:rsidTr="24173B80">
        <w:trPr>
          <w:trHeight w:val="56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97D39" w14:textId="77777777" w:rsidR="0070068E" w:rsidRPr="00C121BA" w:rsidRDefault="0070068E" w:rsidP="24173B80">
            <w:pPr>
              <w:rPr>
                <w:rFonts w:cs="Arial"/>
                <w:b/>
                <w:lang w:eastAsia="en-US"/>
              </w:rPr>
            </w:pPr>
            <w:r w:rsidRPr="00C121BA">
              <w:rPr>
                <w:rFonts w:cs="Arial"/>
                <w:b/>
              </w:rPr>
              <w:t> Month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DC9A" w14:textId="77777777" w:rsidR="0070068E" w:rsidRPr="00C121BA" w:rsidRDefault="0070068E" w:rsidP="24173B80">
            <w:pPr>
              <w:jc w:val="center"/>
              <w:rPr>
                <w:rFonts w:cs="Arial"/>
                <w:b/>
              </w:rPr>
            </w:pPr>
            <w:r w:rsidRPr="00C121BA">
              <w:rPr>
                <w:rFonts w:cs="Arial"/>
                <w:b/>
              </w:rPr>
              <w:t>Report Published</w:t>
            </w:r>
          </w:p>
          <w:p w14:paraId="337D0B8A" w14:textId="77777777" w:rsidR="0070068E" w:rsidRPr="00C121BA" w:rsidRDefault="0070068E" w:rsidP="24173B80">
            <w:pPr>
              <w:jc w:val="center"/>
              <w:rPr>
                <w:rFonts w:cs="Arial"/>
                <w:b/>
                <w:lang w:eastAsia="en-US"/>
              </w:rPr>
            </w:pPr>
            <w:r w:rsidRPr="00C121BA">
              <w:rPr>
                <w:rFonts w:cs="Arial"/>
                <w:b/>
              </w:rPr>
              <w:t>(15</w:t>
            </w:r>
            <w:r w:rsidRPr="00C121BA">
              <w:rPr>
                <w:rFonts w:cs="Arial"/>
                <w:b/>
                <w:vertAlign w:val="superscript"/>
              </w:rPr>
              <w:t>th</w:t>
            </w:r>
            <w:r w:rsidRPr="00C121BA">
              <w:rPr>
                <w:rFonts w:cs="Arial"/>
                <w:b/>
              </w:rPr>
              <w:t xml:space="preserve"> WD)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6FE4" w14:textId="77777777" w:rsidR="0070068E" w:rsidRPr="00C121BA" w:rsidRDefault="0070068E" w:rsidP="24173B80">
            <w:pPr>
              <w:jc w:val="center"/>
              <w:rPr>
                <w:rFonts w:cs="Arial"/>
                <w:b/>
              </w:rPr>
            </w:pPr>
            <w:r w:rsidRPr="00C121BA">
              <w:rPr>
                <w:rFonts w:cs="Arial"/>
                <w:b/>
              </w:rPr>
              <w:t>Ofgem Meeting</w:t>
            </w:r>
          </w:p>
          <w:p w14:paraId="604177F6" w14:textId="77777777" w:rsidR="0070068E" w:rsidRPr="00C121BA" w:rsidRDefault="0070068E" w:rsidP="24173B80">
            <w:pPr>
              <w:jc w:val="center"/>
              <w:rPr>
                <w:rFonts w:cs="Arial"/>
                <w:b/>
                <w:lang w:eastAsia="en-US"/>
              </w:rPr>
            </w:pPr>
            <w:r w:rsidRPr="00C121BA">
              <w:rPr>
                <w:rFonts w:cs="Arial"/>
                <w:b/>
              </w:rPr>
              <w:t>(20</w:t>
            </w:r>
            <w:r w:rsidRPr="00C121BA">
              <w:rPr>
                <w:rFonts w:cs="Arial"/>
                <w:b/>
                <w:vertAlign w:val="superscript"/>
              </w:rPr>
              <w:t>th</w:t>
            </w:r>
            <w:r w:rsidRPr="00C121BA">
              <w:rPr>
                <w:rFonts w:cs="Arial"/>
                <w:b/>
              </w:rPr>
              <w:t xml:space="preserve"> WD)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F50E" w14:textId="77777777" w:rsidR="0070068E" w:rsidRPr="00C121BA" w:rsidRDefault="0070068E" w:rsidP="24173B80">
            <w:pPr>
              <w:jc w:val="center"/>
              <w:rPr>
                <w:rFonts w:cs="Arial"/>
                <w:b/>
                <w:lang w:eastAsia="en-US"/>
              </w:rPr>
            </w:pPr>
            <w:r w:rsidRPr="00C121BA">
              <w:rPr>
                <w:rFonts w:cs="Arial"/>
                <w:b/>
              </w:rPr>
              <w:t>Report Type</w:t>
            </w:r>
          </w:p>
        </w:tc>
      </w:tr>
      <w:tr w:rsidR="0070068E" w:rsidRPr="00C121BA" w14:paraId="0141252A" w14:textId="77777777" w:rsidTr="24173B80">
        <w:trPr>
          <w:trHeight w:val="27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D9156" w14:textId="77777777" w:rsidR="0070068E" w:rsidRPr="00C121BA" w:rsidRDefault="0070068E" w:rsidP="24173B80">
            <w:pPr>
              <w:rPr>
                <w:rFonts w:cs="Arial"/>
                <w:lang w:eastAsia="en-US"/>
              </w:rPr>
            </w:pPr>
            <w:r w:rsidRPr="00C121BA">
              <w:rPr>
                <w:rFonts w:cs="Arial"/>
              </w:rPr>
              <w:t>May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D4656" w14:textId="77777777" w:rsidR="0070068E" w:rsidRPr="00C121BA" w:rsidRDefault="00CD7174" w:rsidP="24173B80">
            <w:pPr>
              <w:rPr>
                <w:rFonts w:cs="Arial"/>
                <w:lang w:eastAsia="en-US"/>
              </w:rPr>
            </w:pPr>
            <w:r>
              <w:rPr>
                <w:rFonts w:cs="Arial"/>
              </w:rPr>
              <w:t>22/05/2019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056FD" w14:textId="77777777" w:rsidR="0070068E" w:rsidRPr="00C121BA" w:rsidRDefault="00CD7174" w:rsidP="24173B80">
            <w:pPr>
              <w:rPr>
                <w:rFonts w:cs="Arial"/>
                <w:lang w:eastAsia="en-US"/>
              </w:rPr>
            </w:pPr>
            <w:r>
              <w:rPr>
                <w:rFonts w:cs="Arial"/>
              </w:rPr>
              <w:t>30/05/2019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0A98" w14:textId="77777777" w:rsidR="0070068E" w:rsidRPr="00C121BA" w:rsidRDefault="0070068E" w:rsidP="24173B80">
            <w:pPr>
              <w:rPr>
                <w:rFonts w:cs="Arial"/>
                <w:lang w:eastAsia="en-US"/>
              </w:rPr>
            </w:pPr>
          </w:p>
        </w:tc>
      </w:tr>
      <w:tr w:rsidR="0070068E" w:rsidRPr="00C121BA" w14:paraId="67F0CF3B" w14:textId="77777777" w:rsidTr="24173B80">
        <w:trPr>
          <w:trHeight w:val="27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B7BB9" w14:textId="77777777" w:rsidR="0070068E" w:rsidRPr="00C121BA" w:rsidRDefault="0070068E" w:rsidP="24173B80">
            <w:pPr>
              <w:rPr>
                <w:rFonts w:cs="Arial"/>
                <w:lang w:eastAsia="en-US"/>
              </w:rPr>
            </w:pPr>
            <w:r w:rsidRPr="00C121BA">
              <w:rPr>
                <w:rFonts w:cs="Arial"/>
              </w:rPr>
              <w:t>June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63C46" w14:textId="77777777" w:rsidR="0070068E" w:rsidRPr="00C121BA" w:rsidRDefault="00AC40D7" w:rsidP="24173B80">
            <w:pPr>
              <w:rPr>
                <w:rFonts w:cs="Arial"/>
                <w:lang w:eastAsia="en-US"/>
              </w:rPr>
            </w:pPr>
            <w:r>
              <w:rPr>
                <w:rFonts w:cs="Arial"/>
              </w:rPr>
              <w:t>21/06/2019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34D74" w14:textId="77777777" w:rsidR="0070068E" w:rsidRPr="00C121BA" w:rsidRDefault="00AC40D7" w:rsidP="24173B80">
            <w:pPr>
              <w:rPr>
                <w:rFonts w:cs="Arial"/>
                <w:lang w:eastAsia="en-US"/>
              </w:rPr>
            </w:pPr>
            <w:r>
              <w:rPr>
                <w:rFonts w:cs="Arial"/>
              </w:rPr>
              <w:t>28/06/2019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3713" w14:textId="77777777" w:rsidR="0070068E" w:rsidRPr="00C121BA" w:rsidRDefault="0070068E" w:rsidP="24173B80">
            <w:pPr>
              <w:rPr>
                <w:rFonts w:cs="Arial"/>
                <w:lang w:eastAsia="en-US"/>
              </w:rPr>
            </w:pPr>
          </w:p>
        </w:tc>
      </w:tr>
      <w:tr w:rsidR="0070068E" w:rsidRPr="00C121BA" w14:paraId="16772916" w14:textId="77777777" w:rsidTr="24173B80">
        <w:trPr>
          <w:trHeight w:val="27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B09E4" w14:textId="77777777" w:rsidR="0070068E" w:rsidRPr="00C121BA" w:rsidRDefault="0070068E" w:rsidP="24173B80">
            <w:pPr>
              <w:rPr>
                <w:rFonts w:cs="Arial"/>
                <w:lang w:eastAsia="en-US"/>
              </w:rPr>
            </w:pPr>
            <w:r w:rsidRPr="00C121BA">
              <w:rPr>
                <w:rFonts w:cs="Arial"/>
              </w:rPr>
              <w:t>July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7222F" w14:textId="77777777" w:rsidR="0070068E" w:rsidRPr="00C121BA" w:rsidRDefault="00AC40D7" w:rsidP="24173B80">
            <w:pPr>
              <w:rPr>
                <w:rFonts w:cs="Arial"/>
                <w:lang w:eastAsia="en-US"/>
              </w:rPr>
            </w:pPr>
            <w:r>
              <w:rPr>
                <w:rFonts w:cs="Arial"/>
              </w:rPr>
              <w:t>19/07/2019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71AF3" w14:textId="77777777" w:rsidR="0070068E" w:rsidRPr="00C121BA" w:rsidRDefault="0070068E" w:rsidP="24173B80">
            <w:pPr>
              <w:rPr>
                <w:rFonts w:cs="Arial"/>
                <w:lang w:eastAsia="en-US"/>
              </w:rPr>
            </w:pPr>
            <w:r w:rsidRPr="00C121BA">
              <w:rPr>
                <w:rFonts w:cs="Arial"/>
              </w:rPr>
              <w:t>2</w:t>
            </w:r>
            <w:r w:rsidR="00AC40D7">
              <w:rPr>
                <w:rFonts w:cs="Arial"/>
              </w:rPr>
              <w:t>6/07/2019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A6C1" w14:textId="77777777" w:rsidR="0070068E" w:rsidRPr="00C121BA" w:rsidRDefault="0070068E" w:rsidP="24173B80">
            <w:pPr>
              <w:rPr>
                <w:rFonts w:cs="Arial"/>
                <w:lang w:eastAsia="en-US"/>
              </w:rPr>
            </w:pPr>
            <w:r w:rsidRPr="00C121BA">
              <w:rPr>
                <w:rFonts w:cs="Arial"/>
              </w:rPr>
              <w:t>Q1 Report</w:t>
            </w:r>
          </w:p>
        </w:tc>
      </w:tr>
      <w:tr w:rsidR="0070068E" w:rsidRPr="00C121BA" w14:paraId="4F04BB67" w14:textId="77777777" w:rsidTr="24173B80">
        <w:trPr>
          <w:trHeight w:val="27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FE4D7" w14:textId="77777777" w:rsidR="0070068E" w:rsidRPr="00C121BA" w:rsidRDefault="0070068E" w:rsidP="24173B80">
            <w:pPr>
              <w:rPr>
                <w:rFonts w:cs="Arial"/>
                <w:lang w:eastAsia="en-US"/>
              </w:rPr>
            </w:pPr>
            <w:r w:rsidRPr="00C121BA">
              <w:rPr>
                <w:rFonts w:cs="Arial"/>
              </w:rPr>
              <w:t>August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B009F" w14:textId="77777777" w:rsidR="0070068E" w:rsidRPr="00C121BA" w:rsidRDefault="00AC40D7" w:rsidP="24173B80">
            <w:pPr>
              <w:rPr>
                <w:rFonts w:cs="Arial"/>
                <w:lang w:eastAsia="en-US"/>
              </w:rPr>
            </w:pPr>
            <w:r>
              <w:rPr>
                <w:rFonts w:cs="Arial"/>
              </w:rPr>
              <w:t>21/08/2019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3989F" w14:textId="77777777" w:rsidR="0070068E" w:rsidRPr="00C121BA" w:rsidRDefault="00AC40D7" w:rsidP="24173B80">
            <w:pPr>
              <w:rPr>
                <w:rFonts w:cs="Arial"/>
                <w:lang w:eastAsia="en-US"/>
              </w:rPr>
            </w:pPr>
            <w:r>
              <w:rPr>
                <w:rFonts w:cs="Arial"/>
              </w:rPr>
              <w:t>29/08/2019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E2D5" w14:textId="77777777" w:rsidR="0070068E" w:rsidRPr="00C121BA" w:rsidRDefault="0070068E" w:rsidP="24173B80">
            <w:pPr>
              <w:rPr>
                <w:rFonts w:cs="Arial"/>
                <w:lang w:eastAsia="en-US"/>
              </w:rPr>
            </w:pPr>
          </w:p>
        </w:tc>
      </w:tr>
      <w:tr w:rsidR="0070068E" w:rsidRPr="00C121BA" w14:paraId="59EACE92" w14:textId="77777777" w:rsidTr="24173B80">
        <w:trPr>
          <w:trHeight w:val="27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636D6" w14:textId="77777777" w:rsidR="0070068E" w:rsidRPr="00C121BA" w:rsidRDefault="0070068E" w:rsidP="24173B80">
            <w:pPr>
              <w:rPr>
                <w:rFonts w:cs="Arial"/>
                <w:lang w:eastAsia="en-US"/>
              </w:rPr>
            </w:pPr>
            <w:r w:rsidRPr="00C121BA">
              <w:rPr>
                <w:rFonts w:cs="Arial"/>
              </w:rPr>
              <w:t>September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2701B" w14:textId="77777777" w:rsidR="0070068E" w:rsidRPr="00C121BA" w:rsidRDefault="00746BB8" w:rsidP="24173B80">
            <w:pPr>
              <w:rPr>
                <w:rFonts w:cs="Arial"/>
                <w:lang w:eastAsia="en-US"/>
              </w:rPr>
            </w:pPr>
            <w:r>
              <w:rPr>
                <w:rFonts w:cs="Arial"/>
              </w:rPr>
              <w:t>20/09/2019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396C6" w14:textId="77777777" w:rsidR="0070068E" w:rsidRPr="00C121BA" w:rsidRDefault="00746BB8" w:rsidP="24173B80">
            <w:pPr>
              <w:rPr>
                <w:rFonts w:cs="Arial"/>
                <w:lang w:eastAsia="en-US"/>
              </w:rPr>
            </w:pPr>
            <w:r>
              <w:rPr>
                <w:rFonts w:cs="Arial"/>
              </w:rPr>
              <w:t>27/09/2019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F109" w14:textId="77777777" w:rsidR="0070068E" w:rsidRPr="00C121BA" w:rsidRDefault="0070068E" w:rsidP="24173B80">
            <w:pPr>
              <w:rPr>
                <w:rFonts w:cs="Arial"/>
                <w:lang w:eastAsia="en-US"/>
              </w:rPr>
            </w:pPr>
          </w:p>
        </w:tc>
      </w:tr>
      <w:tr w:rsidR="0070068E" w:rsidRPr="00C121BA" w14:paraId="44E4CFDF" w14:textId="77777777" w:rsidTr="24173B80">
        <w:trPr>
          <w:trHeight w:val="27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38AE3" w14:textId="77777777" w:rsidR="0070068E" w:rsidRPr="00C121BA" w:rsidRDefault="0070068E" w:rsidP="24173B80">
            <w:pPr>
              <w:rPr>
                <w:rFonts w:cs="Arial"/>
                <w:lang w:eastAsia="en-US"/>
              </w:rPr>
            </w:pPr>
            <w:r w:rsidRPr="00C121BA">
              <w:rPr>
                <w:rFonts w:cs="Arial"/>
              </w:rPr>
              <w:t>October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3E3C2" w14:textId="77777777" w:rsidR="0070068E" w:rsidRPr="00C121BA" w:rsidRDefault="00E21AF9" w:rsidP="24173B80">
            <w:pPr>
              <w:rPr>
                <w:rFonts w:cs="Arial"/>
                <w:lang w:eastAsia="en-US"/>
              </w:rPr>
            </w:pPr>
            <w:r>
              <w:rPr>
                <w:rFonts w:cs="Arial"/>
              </w:rPr>
              <w:t>21/10/2019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55348" w14:textId="77777777" w:rsidR="0070068E" w:rsidRPr="00C121BA" w:rsidRDefault="00E21AF9" w:rsidP="24173B80">
            <w:pPr>
              <w:rPr>
                <w:rFonts w:cs="Arial"/>
                <w:lang w:eastAsia="en-US"/>
              </w:rPr>
            </w:pPr>
            <w:r>
              <w:rPr>
                <w:rFonts w:cs="Arial"/>
              </w:rPr>
              <w:t>28/10/2019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8C7C6" w14:textId="77777777" w:rsidR="0070068E" w:rsidRPr="00C121BA" w:rsidRDefault="0070068E" w:rsidP="24173B80">
            <w:pPr>
              <w:rPr>
                <w:rFonts w:cs="Arial"/>
                <w:lang w:eastAsia="en-US"/>
              </w:rPr>
            </w:pPr>
            <w:r w:rsidRPr="00C121BA">
              <w:rPr>
                <w:rFonts w:cs="Arial"/>
              </w:rPr>
              <w:t>Half Year Report</w:t>
            </w:r>
          </w:p>
        </w:tc>
      </w:tr>
      <w:tr w:rsidR="0070068E" w:rsidRPr="00C121BA" w14:paraId="349CC482" w14:textId="77777777" w:rsidTr="24173B80">
        <w:trPr>
          <w:trHeight w:val="27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768CB" w14:textId="77777777" w:rsidR="0070068E" w:rsidRPr="00C121BA" w:rsidRDefault="0070068E" w:rsidP="24173B80">
            <w:pPr>
              <w:rPr>
                <w:rFonts w:cs="Arial"/>
                <w:lang w:eastAsia="en-US"/>
              </w:rPr>
            </w:pPr>
            <w:r w:rsidRPr="00C121BA">
              <w:rPr>
                <w:rFonts w:cs="Arial"/>
              </w:rPr>
              <w:t>November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BF1DC" w14:textId="77777777" w:rsidR="0070068E" w:rsidRPr="00C121BA" w:rsidRDefault="00E21AF9" w:rsidP="24173B80">
            <w:pPr>
              <w:rPr>
                <w:rFonts w:cs="Arial"/>
                <w:lang w:eastAsia="en-US"/>
              </w:rPr>
            </w:pPr>
            <w:r>
              <w:rPr>
                <w:rFonts w:cs="Arial"/>
              </w:rPr>
              <w:t>21/11/2019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A7504" w14:textId="77777777" w:rsidR="0070068E" w:rsidRPr="00C121BA" w:rsidRDefault="00E21AF9" w:rsidP="24173B80">
            <w:pPr>
              <w:rPr>
                <w:rFonts w:cs="Arial"/>
                <w:lang w:eastAsia="en-US"/>
              </w:rPr>
            </w:pPr>
            <w:r>
              <w:rPr>
                <w:rFonts w:cs="Arial"/>
              </w:rPr>
              <w:t>28/11/2019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EA1B" w14:textId="77777777" w:rsidR="0070068E" w:rsidRPr="00C121BA" w:rsidRDefault="0070068E" w:rsidP="24173B80">
            <w:pPr>
              <w:rPr>
                <w:rFonts w:cs="Arial"/>
                <w:lang w:eastAsia="en-US"/>
              </w:rPr>
            </w:pPr>
          </w:p>
        </w:tc>
      </w:tr>
      <w:tr w:rsidR="0070068E" w:rsidRPr="00C121BA" w14:paraId="4237BE90" w14:textId="77777777" w:rsidTr="24173B80">
        <w:trPr>
          <w:trHeight w:val="27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B79A0" w14:textId="77777777" w:rsidR="0070068E" w:rsidRPr="00C121BA" w:rsidRDefault="0070068E" w:rsidP="24173B80">
            <w:pPr>
              <w:rPr>
                <w:rFonts w:cs="Arial"/>
                <w:lang w:eastAsia="en-US"/>
              </w:rPr>
            </w:pPr>
            <w:r w:rsidRPr="00C121BA">
              <w:rPr>
                <w:rFonts w:cs="Arial"/>
              </w:rPr>
              <w:t>December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5FD7E" w14:textId="77777777" w:rsidR="0070068E" w:rsidRPr="00C121BA" w:rsidRDefault="00E21AF9" w:rsidP="24173B80">
            <w:pPr>
              <w:rPr>
                <w:rFonts w:cs="Arial"/>
                <w:lang w:eastAsia="en-US"/>
              </w:rPr>
            </w:pPr>
            <w:r>
              <w:rPr>
                <w:rFonts w:cs="Arial"/>
              </w:rPr>
              <w:t>20/12/2019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A82BF" w14:textId="77777777" w:rsidR="0070068E" w:rsidRPr="00C121BA" w:rsidRDefault="00E21AF9" w:rsidP="24173B80">
            <w:pPr>
              <w:rPr>
                <w:rFonts w:cs="Arial"/>
                <w:lang w:eastAsia="en-US"/>
              </w:rPr>
            </w:pPr>
            <w:r>
              <w:rPr>
                <w:rFonts w:cs="Arial"/>
              </w:rPr>
              <w:t>31/12</w:t>
            </w:r>
            <w:r w:rsidR="0070068E" w:rsidRPr="00C121BA">
              <w:rPr>
                <w:rFonts w:cs="Arial"/>
              </w:rPr>
              <w:t>/2019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A729" w14:textId="77777777" w:rsidR="0070068E" w:rsidRPr="00C121BA" w:rsidRDefault="0070068E" w:rsidP="24173B80">
            <w:pPr>
              <w:rPr>
                <w:rFonts w:cs="Arial"/>
                <w:lang w:eastAsia="en-US"/>
              </w:rPr>
            </w:pPr>
          </w:p>
        </w:tc>
      </w:tr>
      <w:tr w:rsidR="0070068E" w:rsidRPr="00C121BA" w14:paraId="32A819CE" w14:textId="77777777" w:rsidTr="24173B80">
        <w:trPr>
          <w:trHeight w:val="291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67F03" w14:textId="77777777" w:rsidR="0070068E" w:rsidRPr="00C121BA" w:rsidRDefault="0070068E" w:rsidP="24173B80">
            <w:pPr>
              <w:rPr>
                <w:rFonts w:cs="Arial"/>
                <w:lang w:eastAsia="en-US"/>
              </w:rPr>
            </w:pPr>
            <w:r w:rsidRPr="00C121BA">
              <w:rPr>
                <w:rFonts w:cs="Arial"/>
              </w:rPr>
              <w:lastRenderedPageBreak/>
              <w:t>January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39B16" w14:textId="77777777" w:rsidR="0070068E" w:rsidRPr="00C121BA" w:rsidRDefault="00C073C6" w:rsidP="24173B80">
            <w:pPr>
              <w:rPr>
                <w:rFonts w:cs="Arial"/>
                <w:lang w:eastAsia="en-US"/>
              </w:rPr>
            </w:pPr>
            <w:r>
              <w:rPr>
                <w:rFonts w:cs="Arial"/>
              </w:rPr>
              <w:t>22/01/2020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184B7" w14:textId="77777777" w:rsidR="0070068E" w:rsidRPr="00C121BA" w:rsidRDefault="00C073C6" w:rsidP="24173B80">
            <w:pPr>
              <w:rPr>
                <w:rFonts w:cs="Arial"/>
                <w:lang w:eastAsia="en-US"/>
              </w:rPr>
            </w:pPr>
            <w:r>
              <w:rPr>
                <w:rFonts w:cs="Arial"/>
              </w:rPr>
              <w:t>29/01/2020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45B5" w14:textId="77777777" w:rsidR="0070068E" w:rsidRPr="00C121BA" w:rsidRDefault="0070068E" w:rsidP="24173B80">
            <w:pPr>
              <w:rPr>
                <w:rFonts w:cs="Arial"/>
                <w:lang w:eastAsia="en-US"/>
              </w:rPr>
            </w:pPr>
            <w:r w:rsidRPr="00C121BA">
              <w:rPr>
                <w:rFonts w:cs="Arial"/>
              </w:rPr>
              <w:t>Q3 Report</w:t>
            </w:r>
          </w:p>
        </w:tc>
      </w:tr>
      <w:tr w:rsidR="0070068E" w:rsidRPr="00C121BA" w14:paraId="48EDD432" w14:textId="77777777" w:rsidTr="24173B80">
        <w:trPr>
          <w:trHeight w:val="27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2C0C9" w14:textId="77777777" w:rsidR="0070068E" w:rsidRPr="00C121BA" w:rsidRDefault="0070068E" w:rsidP="24173B80">
            <w:pPr>
              <w:rPr>
                <w:rFonts w:cs="Arial"/>
                <w:lang w:eastAsia="en-US"/>
              </w:rPr>
            </w:pPr>
            <w:r w:rsidRPr="00C121BA">
              <w:rPr>
                <w:rFonts w:cs="Arial"/>
              </w:rPr>
              <w:t>February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ACDC3" w14:textId="77777777" w:rsidR="0070068E" w:rsidRPr="00C121BA" w:rsidRDefault="00C073C6" w:rsidP="24173B80">
            <w:pPr>
              <w:rPr>
                <w:rFonts w:cs="Arial"/>
                <w:lang w:eastAsia="en-US"/>
              </w:rPr>
            </w:pPr>
            <w:r>
              <w:rPr>
                <w:rFonts w:cs="Arial"/>
              </w:rPr>
              <w:t>21/02/2020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49DA9" w14:textId="77777777" w:rsidR="0070068E" w:rsidRPr="00C121BA" w:rsidRDefault="00C073C6" w:rsidP="24173B80">
            <w:pPr>
              <w:rPr>
                <w:rFonts w:cs="Arial"/>
                <w:lang w:eastAsia="en-US"/>
              </w:rPr>
            </w:pPr>
            <w:r>
              <w:rPr>
                <w:rFonts w:cs="Arial"/>
              </w:rPr>
              <w:t>28/02/2020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44EB" w14:textId="77777777" w:rsidR="0070068E" w:rsidRPr="00C121BA" w:rsidRDefault="0070068E" w:rsidP="24173B80">
            <w:pPr>
              <w:rPr>
                <w:rFonts w:cs="Arial"/>
                <w:lang w:eastAsia="en-US"/>
              </w:rPr>
            </w:pPr>
          </w:p>
        </w:tc>
      </w:tr>
      <w:tr w:rsidR="0070068E" w:rsidRPr="00C121BA" w14:paraId="4EE77549" w14:textId="77777777" w:rsidTr="24173B80">
        <w:trPr>
          <w:trHeight w:val="27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2606C" w14:textId="77777777" w:rsidR="0070068E" w:rsidRPr="00C121BA" w:rsidRDefault="0070068E" w:rsidP="24173B80">
            <w:pPr>
              <w:rPr>
                <w:rFonts w:cs="Arial"/>
                <w:lang w:eastAsia="en-US"/>
              </w:rPr>
            </w:pPr>
            <w:r w:rsidRPr="00C121BA">
              <w:rPr>
                <w:rFonts w:cs="Arial"/>
              </w:rPr>
              <w:t>March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9FC67" w14:textId="77777777" w:rsidR="0070068E" w:rsidRPr="00C121BA" w:rsidRDefault="0070068E" w:rsidP="24173B80">
            <w:pPr>
              <w:rPr>
                <w:rFonts w:cs="Arial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4EE36" w14:textId="77777777" w:rsidR="0070068E" w:rsidRPr="00C121BA" w:rsidRDefault="0070068E" w:rsidP="24173B80">
            <w:pPr>
              <w:rPr>
                <w:rFonts w:cs="Arial"/>
                <w:lang w:eastAsia="en-US"/>
              </w:rPr>
            </w:pPr>
            <w:r w:rsidRPr="00C121BA">
              <w:rPr>
                <w:rFonts w:cs="Arial"/>
              </w:rPr>
              <w:t>28/03/</w:t>
            </w:r>
            <w:r w:rsidR="00DA339B" w:rsidRPr="00C121BA">
              <w:rPr>
                <w:rFonts w:cs="Arial"/>
              </w:rPr>
              <w:t>2</w:t>
            </w:r>
            <w:r w:rsidR="00DA339B">
              <w:rPr>
                <w:rFonts w:cs="Arial"/>
              </w:rPr>
              <w:t>020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4B95" w14:textId="77777777" w:rsidR="0070068E" w:rsidRPr="00C121BA" w:rsidRDefault="0070068E" w:rsidP="24173B80">
            <w:pPr>
              <w:rPr>
                <w:rFonts w:cs="Arial"/>
                <w:lang w:eastAsia="en-US"/>
              </w:rPr>
            </w:pPr>
          </w:p>
        </w:tc>
      </w:tr>
      <w:tr w:rsidR="0070068E" w:rsidRPr="00C121BA" w14:paraId="4A88F937" w14:textId="77777777" w:rsidTr="24173B80">
        <w:trPr>
          <w:trHeight w:val="291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B496A" w14:textId="77777777" w:rsidR="0070068E" w:rsidRPr="00C121BA" w:rsidRDefault="0070068E" w:rsidP="24173B80">
            <w:pPr>
              <w:rPr>
                <w:rFonts w:cs="Arial"/>
                <w:lang w:eastAsia="en-US"/>
              </w:rPr>
            </w:pPr>
            <w:r w:rsidRPr="00C121BA">
              <w:rPr>
                <w:rFonts w:cs="Arial"/>
              </w:rPr>
              <w:t>April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C1D75" w14:textId="77777777" w:rsidR="0070068E" w:rsidRPr="00C121BA" w:rsidRDefault="0070068E" w:rsidP="24173B80">
            <w:pPr>
              <w:rPr>
                <w:rFonts w:cs="Arial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2E2F4" w14:textId="77777777" w:rsidR="0070068E" w:rsidRPr="00C121BA" w:rsidRDefault="0070068E" w:rsidP="24173B80">
            <w:pPr>
              <w:rPr>
                <w:rFonts w:cs="Arial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6F20" w14:textId="77777777" w:rsidR="0070068E" w:rsidRPr="00C121BA" w:rsidRDefault="0070068E" w:rsidP="24173B80">
            <w:pPr>
              <w:rPr>
                <w:rFonts w:cs="Arial"/>
                <w:lang w:eastAsia="en-US"/>
              </w:rPr>
            </w:pPr>
          </w:p>
        </w:tc>
      </w:tr>
      <w:tr w:rsidR="0070068E" w:rsidRPr="00C121BA" w14:paraId="6087BBFA" w14:textId="77777777" w:rsidTr="24173B80">
        <w:trPr>
          <w:trHeight w:val="291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D7D9D" w14:textId="77777777" w:rsidR="0070068E" w:rsidRPr="00C121BA" w:rsidRDefault="0070068E" w:rsidP="24173B80">
            <w:pPr>
              <w:rPr>
                <w:rFonts w:cs="Arial"/>
                <w:lang w:eastAsia="en-US"/>
              </w:rPr>
            </w:pPr>
            <w:r w:rsidRPr="00C121BA">
              <w:rPr>
                <w:rFonts w:cs="Arial"/>
              </w:rPr>
              <w:t>May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8A036" w14:textId="77777777" w:rsidR="0070068E" w:rsidRPr="00C121BA" w:rsidRDefault="0070068E" w:rsidP="24173B80">
            <w:pPr>
              <w:rPr>
                <w:rFonts w:cs="Arial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72FF4" w14:textId="77777777" w:rsidR="0070068E" w:rsidRPr="00C121BA" w:rsidRDefault="0070068E" w:rsidP="24173B80">
            <w:pPr>
              <w:rPr>
                <w:rFonts w:cs="Arial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72B1" w14:textId="77777777" w:rsidR="0070068E" w:rsidRPr="00C121BA" w:rsidRDefault="0070068E" w:rsidP="24173B80">
            <w:pPr>
              <w:rPr>
                <w:rFonts w:cs="Arial"/>
                <w:lang w:eastAsia="en-US"/>
              </w:rPr>
            </w:pPr>
            <w:r w:rsidRPr="00C121BA">
              <w:rPr>
                <w:rFonts w:cs="Arial"/>
              </w:rPr>
              <w:t>End of Year Report</w:t>
            </w:r>
          </w:p>
        </w:tc>
      </w:tr>
    </w:tbl>
    <w:p w14:paraId="52435131" w14:textId="77777777" w:rsidR="0070068E" w:rsidRPr="00C121BA" w:rsidRDefault="0070068E" w:rsidP="24173B80">
      <w:pPr>
        <w:rPr>
          <w:rFonts w:cs="Arial"/>
          <w:sz w:val="20"/>
          <w:szCs w:val="20"/>
          <w:lang w:eastAsia="en-US"/>
        </w:rPr>
      </w:pPr>
    </w:p>
    <w:p w14:paraId="7B8EA9CD" w14:textId="77777777" w:rsidR="0070068E" w:rsidRDefault="00112036" w:rsidP="24173B80">
      <w:pPr>
        <w:rPr>
          <w:rFonts w:cs="Arial"/>
          <w:b/>
          <w:sz w:val="20"/>
          <w:szCs w:val="20"/>
          <w:lang w:val="en-GB"/>
        </w:rPr>
      </w:pPr>
      <w:r>
        <w:rPr>
          <w:rFonts w:cs="Arial"/>
          <w:b/>
          <w:sz w:val="20"/>
          <w:szCs w:val="20"/>
          <w:lang w:val="en-GB"/>
        </w:rPr>
        <w:t xml:space="preserve">Appendix 2 – </w:t>
      </w:r>
      <w:r w:rsidR="00DA339B">
        <w:rPr>
          <w:rFonts w:cs="Arial"/>
          <w:b/>
          <w:sz w:val="20"/>
          <w:szCs w:val="20"/>
          <w:lang w:val="en-GB"/>
        </w:rPr>
        <w:t xml:space="preserve">Previously </w:t>
      </w:r>
      <w:r>
        <w:rPr>
          <w:rFonts w:cs="Arial"/>
          <w:b/>
          <w:sz w:val="20"/>
          <w:szCs w:val="20"/>
          <w:lang w:val="en-GB"/>
        </w:rPr>
        <w:t>Closed Actions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839"/>
        <w:gridCol w:w="982"/>
        <w:gridCol w:w="1139"/>
        <w:gridCol w:w="817"/>
        <w:gridCol w:w="2885"/>
        <w:gridCol w:w="1382"/>
      </w:tblGrid>
      <w:tr w:rsidR="006715FB" w:rsidRPr="00C121BA" w14:paraId="24C16999" w14:textId="77777777" w:rsidTr="00C717D6">
        <w:trPr>
          <w:trHeight w:hRule="exact" w:val="696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517FB" w14:textId="77777777" w:rsidR="006715FB" w:rsidRPr="006715FB" w:rsidRDefault="006715FB" w:rsidP="00762837">
            <w:pPr>
              <w:jc w:val="center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1D17A1BE">
              <w:rPr>
                <w:rFonts w:cs="Arial"/>
                <w:b/>
                <w:bCs/>
                <w:sz w:val="20"/>
                <w:szCs w:val="20"/>
                <w:lang w:val="en-GB"/>
              </w:rPr>
              <w:t>16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5D16C" w14:textId="77777777" w:rsidR="006715FB" w:rsidRPr="006715FB" w:rsidRDefault="006715FB" w:rsidP="00762837">
            <w:pPr>
              <w:jc w:val="center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1D17A1BE">
              <w:rPr>
                <w:rFonts w:cs="Arial"/>
                <w:b/>
                <w:bCs/>
                <w:sz w:val="20"/>
                <w:szCs w:val="20"/>
                <w:lang w:val="en-GB"/>
              </w:rPr>
              <w:t>38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02E4" w14:textId="77777777" w:rsidR="006715FB" w:rsidRPr="006715FB" w:rsidRDefault="006715FB" w:rsidP="00762837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1D17A1BE">
              <w:rPr>
                <w:rFonts w:cs="Arial"/>
                <w:sz w:val="20"/>
                <w:szCs w:val="20"/>
                <w:lang w:val="en-GB"/>
              </w:rPr>
              <w:t>29</w:t>
            </w:r>
            <w:r w:rsidRPr="006715FB">
              <w:rPr>
                <w:rFonts w:cs="Arial"/>
                <w:sz w:val="20"/>
                <w:szCs w:val="20"/>
                <w:lang w:val="en-GB"/>
              </w:rPr>
              <w:t>th</w:t>
            </w:r>
            <w:r w:rsidRPr="1D17A1BE">
              <w:rPr>
                <w:rFonts w:cs="Arial"/>
                <w:sz w:val="20"/>
                <w:szCs w:val="20"/>
                <w:lang w:val="en-GB"/>
              </w:rPr>
              <w:t xml:space="preserve"> Aug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9276" w14:textId="77777777" w:rsidR="006715FB" w:rsidRPr="006715FB" w:rsidRDefault="006715FB" w:rsidP="00762837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1D17A1BE">
              <w:rPr>
                <w:rFonts w:cs="Arial"/>
                <w:sz w:val="20"/>
                <w:szCs w:val="20"/>
                <w:lang w:val="en-GB"/>
              </w:rPr>
              <w:t>15</w:t>
            </w:r>
            <w:r w:rsidRPr="006715FB">
              <w:rPr>
                <w:rFonts w:cs="Arial"/>
                <w:sz w:val="20"/>
                <w:szCs w:val="20"/>
                <w:lang w:val="en-GB"/>
              </w:rPr>
              <w:t>th</w:t>
            </w:r>
            <w:r w:rsidRPr="1D17A1BE">
              <w:rPr>
                <w:rFonts w:cs="Arial"/>
                <w:sz w:val="20"/>
                <w:szCs w:val="20"/>
                <w:lang w:val="en-GB"/>
              </w:rPr>
              <w:t xml:space="preserve"> Sept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8419" w14:textId="77777777" w:rsidR="006715FB" w:rsidRPr="006715FB" w:rsidRDefault="006715FB" w:rsidP="00762837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1D17A1BE">
              <w:rPr>
                <w:rFonts w:cs="Arial"/>
                <w:sz w:val="20"/>
                <w:szCs w:val="20"/>
                <w:lang w:val="en-GB"/>
              </w:rPr>
              <w:t>Ofgem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74A4" w14:textId="77777777" w:rsidR="006715FB" w:rsidRPr="006715FB" w:rsidRDefault="006715FB" w:rsidP="00762837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6715FB">
              <w:rPr>
                <w:color w:val="000000" w:themeColor="text1"/>
                <w:sz w:val="20"/>
                <w:szCs w:val="20"/>
                <w:lang w:val="en-GB"/>
              </w:rPr>
              <w:t xml:space="preserve">Arrange a meeting to further discuss </w:t>
            </w:r>
            <w:proofErr w:type="spellStart"/>
            <w:r w:rsidRPr="006715FB">
              <w:rPr>
                <w:color w:val="000000" w:themeColor="text1"/>
                <w:sz w:val="20"/>
                <w:szCs w:val="20"/>
                <w:lang w:val="en-GB"/>
              </w:rPr>
              <w:t>Mid Year</w:t>
            </w:r>
            <w:proofErr w:type="spellEnd"/>
            <w:r w:rsidRPr="006715FB">
              <w:rPr>
                <w:color w:val="000000" w:themeColor="text1"/>
                <w:sz w:val="20"/>
                <w:szCs w:val="20"/>
                <w:lang w:val="en-GB"/>
              </w:rPr>
              <w:t xml:space="preserve"> Report content.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B550" w14:textId="77777777" w:rsidR="006715FB" w:rsidRPr="006715FB" w:rsidRDefault="006715FB" w:rsidP="00762837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 xml:space="preserve">Closed </w:t>
            </w:r>
          </w:p>
        </w:tc>
      </w:tr>
      <w:tr w:rsidR="006715FB" w:rsidRPr="00C121BA" w14:paraId="5C0275CB" w14:textId="77777777" w:rsidTr="00C717D6">
        <w:trPr>
          <w:trHeight w:hRule="exact" w:val="696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CDA84" w14:textId="77777777" w:rsidR="006715FB" w:rsidRDefault="006715FB" w:rsidP="00762837">
            <w:pPr>
              <w:jc w:val="center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1D17A1BE">
              <w:rPr>
                <w:rFonts w:cs="Arial"/>
                <w:b/>
                <w:bCs/>
                <w:sz w:val="20"/>
                <w:szCs w:val="20"/>
                <w:lang w:val="en-GB"/>
              </w:rPr>
              <w:t>16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BBD1" w14:textId="77777777" w:rsidR="006715FB" w:rsidRDefault="006715FB" w:rsidP="00762837">
            <w:pPr>
              <w:jc w:val="center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1D17A1BE">
              <w:rPr>
                <w:rFonts w:cs="Arial"/>
                <w:b/>
                <w:bCs/>
                <w:sz w:val="20"/>
                <w:szCs w:val="20"/>
                <w:lang w:val="en-GB"/>
              </w:rPr>
              <w:t>39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D0DCD" w14:textId="77777777" w:rsidR="006715FB" w:rsidRDefault="006715FB" w:rsidP="00762837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1D17A1BE">
              <w:rPr>
                <w:rFonts w:cs="Arial"/>
                <w:sz w:val="20"/>
                <w:szCs w:val="20"/>
                <w:lang w:val="en-GB"/>
              </w:rPr>
              <w:t>29</w:t>
            </w:r>
            <w:r w:rsidRPr="006715FB">
              <w:rPr>
                <w:rFonts w:cs="Arial"/>
                <w:sz w:val="20"/>
                <w:szCs w:val="20"/>
                <w:lang w:val="en-GB"/>
              </w:rPr>
              <w:t>th</w:t>
            </w:r>
            <w:r w:rsidRPr="1D17A1BE">
              <w:rPr>
                <w:rFonts w:cs="Arial"/>
                <w:sz w:val="20"/>
                <w:szCs w:val="20"/>
                <w:lang w:val="en-GB"/>
              </w:rPr>
              <w:t xml:space="preserve"> Aug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5940" w14:textId="77777777" w:rsidR="006715FB" w:rsidRDefault="006715FB" w:rsidP="00762837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1D17A1BE">
              <w:rPr>
                <w:rFonts w:cs="Arial"/>
                <w:sz w:val="20"/>
                <w:szCs w:val="20"/>
                <w:lang w:val="en-GB"/>
              </w:rPr>
              <w:t>15</w:t>
            </w:r>
            <w:r w:rsidRPr="006715FB">
              <w:rPr>
                <w:rFonts w:cs="Arial"/>
                <w:sz w:val="20"/>
                <w:szCs w:val="20"/>
                <w:lang w:val="en-GB"/>
              </w:rPr>
              <w:t>th</w:t>
            </w:r>
            <w:r w:rsidRPr="1D17A1BE">
              <w:rPr>
                <w:rFonts w:cs="Arial"/>
                <w:sz w:val="20"/>
                <w:szCs w:val="20"/>
                <w:lang w:val="en-GB"/>
              </w:rPr>
              <w:t xml:space="preserve"> Sept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B5AE" w14:textId="77777777" w:rsidR="006715FB" w:rsidRDefault="006715FB" w:rsidP="00762837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1D17A1BE">
              <w:rPr>
                <w:rFonts w:cs="Arial"/>
                <w:sz w:val="20"/>
                <w:szCs w:val="20"/>
                <w:lang w:val="en-GB"/>
              </w:rPr>
              <w:t>Ofgem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1AE59" w14:textId="77777777" w:rsidR="006715FB" w:rsidRPr="006715FB" w:rsidRDefault="006715FB" w:rsidP="00762837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6715FB">
              <w:rPr>
                <w:color w:val="000000" w:themeColor="text1"/>
                <w:sz w:val="20"/>
                <w:szCs w:val="20"/>
                <w:lang w:val="en-GB"/>
              </w:rPr>
              <w:t>Confirm the date of the November Panel event.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A79E0" w14:textId="77777777" w:rsidR="006715FB" w:rsidRPr="00CD603B" w:rsidRDefault="006715FB" w:rsidP="00762837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Closed</w:t>
            </w:r>
          </w:p>
        </w:tc>
      </w:tr>
      <w:tr w:rsidR="00C717D6" w:rsidRPr="00C121BA" w14:paraId="2DE60892" w14:textId="77777777" w:rsidTr="00C717D6">
        <w:trPr>
          <w:trHeight w:hRule="exact" w:val="696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DCA68" w14:textId="77777777" w:rsidR="00C717D6" w:rsidRPr="00C121BA" w:rsidRDefault="00C717D6" w:rsidP="00C717D6">
            <w:pPr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 w:rsidRPr="1D17A1BE">
              <w:rPr>
                <w:rFonts w:cs="Arial"/>
                <w:b/>
                <w:bCs/>
                <w:sz w:val="20"/>
                <w:szCs w:val="20"/>
                <w:lang w:val="en-GB"/>
              </w:rPr>
              <w:t>1</w:t>
            </w:r>
            <w:r>
              <w:rPr>
                <w:rFonts w:cs="Arial"/>
                <w:b/>
                <w:bCs/>
                <w:sz w:val="20"/>
                <w:szCs w:val="20"/>
                <w:lang w:val="en-GB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D392" w14:textId="77777777" w:rsidR="00C717D6" w:rsidRPr="00C121BA" w:rsidRDefault="00C717D6" w:rsidP="00C717D6">
            <w:pPr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GB"/>
              </w:rPr>
              <w:t>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4F13" w14:textId="77777777" w:rsidR="00C717D6" w:rsidRPr="00C121BA" w:rsidRDefault="00C717D6" w:rsidP="00C717D6">
            <w:pPr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27</w:t>
            </w:r>
            <w:r w:rsidRPr="002355A5">
              <w:rPr>
                <w:rFonts w:cs="Arial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cs="Arial"/>
                <w:sz w:val="20"/>
                <w:szCs w:val="20"/>
                <w:lang w:val="en-GB"/>
              </w:rPr>
              <w:t xml:space="preserve"> Sep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46DE" w14:textId="77777777" w:rsidR="00C717D6" w:rsidRPr="00C121BA" w:rsidRDefault="00C717D6" w:rsidP="00C717D6">
            <w:pPr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11</w:t>
            </w:r>
            <w:r w:rsidRPr="002355A5">
              <w:rPr>
                <w:rFonts w:cs="Arial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cs="Arial"/>
                <w:sz w:val="20"/>
                <w:szCs w:val="20"/>
                <w:lang w:val="en-GB"/>
              </w:rPr>
              <w:t xml:space="preserve"> October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B0FB" w14:textId="77777777" w:rsidR="00C717D6" w:rsidRPr="00C121BA" w:rsidRDefault="00C717D6" w:rsidP="00C717D6">
            <w:pPr>
              <w:jc w:val="center"/>
              <w:rPr>
                <w:rFonts w:cs="Arial"/>
                <w:b/>
                <w:sz w:val="20"/>
                <w:szCs w:val="20"/>
                <w:lang w:val="en-GB"/>
              </w:rPr>
            </w:pPr>
            <w:r w:rsidRPr="1D17A1BE">
              <w:rPr>
                <w:rFonts w:cs="Arial"/>
                <w:sz w:val="20"/>
                <w:szCs w:val="20"/>
                <w:lang w:val="en-GB"/>
              </w:rPr>
              <w:t>Ofgem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64A40" w14:textId="77777777" w:rsidR="00C717D6" w:rsidRPr="00C121BA" w:rsidRDefault="00C717D6" w:rsidP="00C717D6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r w:rsidRPr="002355A5">
              <w:rPr>
                <w:rFonts w:cs="Arial"/>
                <w:sz w:val="20"/>
                <w:szCs w:val="20"/>
                <w:lang w:val="en-GB"/>
              </w:rPr>
              <w:t>Provide agenda for panel event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5482" w14:textId="77777777" w:rsidR="00C717D6" w:rsidRPr="00C121BA" w:rsidRDefault="00C717D6" w:rsidP="00C717D6">
            <w:pPr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Closed</w:t>
            </w:r>
          </w:p>
        </w:tc>
      </w:tr>
      <w:tr w:rsidR="00C717D6" w:rsidRPr="00C121BA" w14:paraId="6869403B" w14:textId="77777777" w:rsidTr="00C717D6">
        <w:trPr>
          <w:trHeight w:hRule="exact" w:val="696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A0ED" w14:textId="77777777" w:rsidR="00C717D6" w:rsidRPr="1D17A1BE" w:rsidRDefault="00C717D6" w:rsidP="00C717D6">
            <w:pPr>
              <w:jc w:val="center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1D17A1BE">
              <w:rPr>
                <w:rFonts w:cs="Arial"/>
                <w:b/>
                <w:bCs/>
                <w:sz w:val="20"/>
                <w:szCs w:val="20"/>
                <w:lang w:val="en-GB"/>
              </w:rPr>
              <w:t>1</w:t>
            </w:r>
            <w:r>
              <w:rPr>
                <w:rFonts w:cs="Arial"/>
                <w:b/>
                <w:bCs/>
                <w:sz w:val="20"/>
                <w:szCs w:val="20"/>
                <w:lang w:val="en-GB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A6C5" w14:textId="77777777" w:rsidR="00C717D6" w:rsidRDefault="00C717D6" w:rsidP="00C717D6">
            <w:pPr>
              <w:jc w:val="center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GB"/>
              </w:rPr>
              <w:t>41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7CB61" w14:textId="77777777" w:rsidR="00C717D6" w:rsidRDefault="00C717D6" w:rsidP="00C717D6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1D17A1BE">
              <w:rPr>
                <w:rFonts w:cs="Arial"/>
                <w:sz w:val="20"/>
                <w:szCs w:val="20"/>
                <w:lang w:val="en-GB"/>
              </w:rPr>
              <w:t>2</w:t>
            </w:r>
            <w:r>
              <w:rPr>
                <w:rFonts w:cs="Arial"/>
                <w:sz w:val="20"/>
                <w:szCs w:val="20"/>
                <w:lang w:val="en-GB"/>
              </w:rPr>
              <w:t>7</w:t>
            </w:r>
            <w:r w:rsidRPr="1D17A1BE">
              <w:rPr>
                <w:rFonts w:cs="Arial"/>
                <w:sz w:val="20"/>
                <w:szCs w:val="20"/>
                <w:vertAlign w:val="superscript"/>
                <w:lang w:val="en-GB"/>
              </w:rPr>
              <w:t>h</w:t>
            </w:r>
            <w:r w:rsidRPr="1D17A1BE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GB"/>
              </w:rPr>
              <w:t>Sep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20CCC" w14:textId="77777777" w:rsidR="00C717D6" w:rsidRDefault="00C717D6" w:rsidP="00C717D6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11</w:t>
            </w:r>
            <w:r w:rsidRPr="00A16BCB">
              <w:rPr>
                <w:rFonts w:cs="Arial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cs="Arial"/>
                <w:sz w:val="20"/>
                <w:szCs w:val="20"/>
                <w:lang w:val="en-GB"/>
              </w:rPr>
              <w:t xml:space="preserve"> October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CFAA" w14:textId="77777777" w:rsidR="00C717D6" w:rsidRPr="1D17A1BE" w:rsidRDefault="00C717D6" w:rsidP="00C717D6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1D17A1BE">
              <w:rPr>
                <w:rFonts w:cs="Arial"/>
                <w:sz w:val="20"/>
                <w:szCs w:val="20"/>
                <w:lang w:val="en-GB"/>
              </w:rPr>
              <w:t>Ofgem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99A1" w14:textId="77777777" w:rsidR="00C717D6" w:rsidRPr="002355A5" w:rsidRDefault="00C717D6" w:rsidP="00C717D6">
            <w:pPr>
              <w:rPr>
                <w:rFonts w:cs="Arial"/>
                <w:sz w:val="20"/>
                <w:szCs w:val="20"/>
                <w:lang w:val="en-GB"/>
              </w:rPr>
            </w:pPr>
            <w:r w:rsidRPr="002355A5">
              <w:rPr>
                <w:color w:val="000000" w:themeColor="text1"/>
                <w:sz w:val="20"/>
                <w:szCs w:val="20"/>
                <w:lang w:val="en-GB"/>
              </w:rPr>
              <w:t xml:space="preserve">Ofgem 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to </w:t>
            </w:r>
            <w:r w:rsidRPr="002355A5">
              <w:rPr>
                <w:color w:val="000000" w:themeColor="text1"/>
                <w:sz w:val="20"/>
                <w:szCs w:val="20"/>
                <w:lang w:val="en-GB"/>
              </w:rPr>
              <w:t xml:space="preserve">share 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stakeholder responses for Call for Evidence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8C68" w14:textId="77777777" w:rsidR="00C717D6" w:rsidRDefault="00C717D6" w:rsidP="00C717D6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Closed</w:t>
            </w:r>
          </w:p>
        </w:tc>
      </w:tr>
      <w:tr w:rsidR="00C717D6" w:rsidRPr="00C121BA" w14:paraId="75C2C43E" w14:textId="77777777" w:rsidTr="00C717D6">
        <w:trPr>
          <w:trHeight w:hRule="exact" w:val="696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F818" w14:textId="77777777" w:rsidR="00C717D6" w:rsidRPr="1D17A1BE" w:rsidRDefault="00C717D6" w:rsidP="00C717D6">
            <w:pPr>
              <w:jc w:val="center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GB"/>
              </w:rPr>
              <w:t>17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7056" w14:textId="77777777" w:rsidR="00C717D6" w:rsidRDefault="00C717D6" w:rsidP="00C717D6">
            <w:pPr>
              <w:jc w:val="center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GB"/>
              </w:rPr>
              <w:t>42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D4EE2" w14:textId="77777777" w:rsidR="00C717D6" w:rsidRPr="1D17A1BE" w:rsidRDefault="00C717D6" w:rsidP="00C717D6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 w:rsidRPr="1D17A1BE">
              <w:rPr>
                <w:rFonts w:cs="Arial"/>
                <w:sz w:val="20"/>
                <w:szCs w:val="20"/>
                <w:lang w:val="en-GB"/>
              </w:rPr>
              <w:t>2</w:t>
            </w:r>
            <w:r>
              <w:rPr>
                <w:rFonts w:cs="Arial"/>
                <w:sz w:val="20"/>
                <w:szCs w:val="20"/>
                <w:lang w:val="en-GB"/>
              </w:rPr>
              <w:t>7</w:t>
            </w:r>
            <w:r w:rsidRPr="1D17A1BE">
              <w:rPr>
                <w:rFonts w:cs="Arial"/>
                <w:sz w:val="20"/>
                <w:szCs w:val="20"/>
                <w:vertAlign w:val="superscript"/>
                <w:lang w:val="en-GB"/>
              </w:rPr>
              <w:t>h</w:t>
            </w:r>
            <w:r w:rsidRPr="1D17A1BE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GB"/>
              </w:rPr>
              <w:t>Sep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246A" w14:textId="77777777" w:rsidR="00C717D6" w:rsidRDefault="00C717D6" w:rsidP="00C717D6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1</w:t>
            </w:r>
            <w:r w:rsidRPr="002355A5">
              <w:rPr>
                <w:rFonts w:cs="Arial"/>
                <w:sz w:val="20"/>
                <w:szCs w:val="20"/>
                <w:vertAlign w:val="superscript"/>
                <w:lang w:val="en-GB"/>
              </w:rPr>
              <w:t>st</w:t>
            </w:r>
            <w:r>
              <w:rPr>
                <w:rFonts w:cs="Arial"/>
                <w:sz w:val="20"/>
                <w:szCs w:val="20"/>
                <w:lang w:val="en-GB"/>
              </w:rPr>
              <w:t xml:space="preserve"> November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A0180" w14:textId="77777777" w:rsidR="00C717D6" w:rsidRPr="1D17A1BE" w:rsidRDefault="00C717D6" w:rsidP="00C717D6">
            <w:pPr>
              <w:jc w:val="center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ESO/ Ofgem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8633D" w14:textId="77777777" w:rsidR="00C717D6" w:rsidRPr="002355A5" w:rsidRDefault="00C717D6" w:rsidP="00C717D6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2355A5">
              <w:rPr>
                <w:color w:val="000000" w:themeColor="text1"/>
                <w:sz w:val="20"/>
                <w:szCs w:val="20"/>
              </w:rPr>
              <w:t>Advance phone call to discuss logistics and attendees</w:t>
            </w:r>
            <w:r>
              <w:rPr>
                <w:color w:val="000000" w:themeColor="text1"/>
                <w:sz w:val="20"/>
                <w:szCs w:val="20"/>
              </w:rPr>
              <w:t xml:space="preserve"> for panel event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0FE7" w14:textId="77777777" w:rsidR="00C717D6" w:rsidRDefault="00C717D6" w:rsidP="00C717D6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Closed</w:t>
            </w:r>
          </w:p>
        </w:tc>
      </w:tr>
    </w:tbl>
    <w:p w14:paraId="4BEF689F" w14:textId="77777777" w:rsidR="00112036" w:rsidRPr="00C121BA" w:rsidRDefault="00112036" w:rsidP="24173B80">
      <w:pPr>
        <w:rPr>
          <w:rFonts w:cs="Arial"/>
          <w:b/>
          <w:sz w:val="20"/>
          <w:szCs w:val="20"/>
          <w:lang w:val="en-GB"/>
        </w:rPr>
      </w:pPr>
    </w:p>
    <w:p w14:paraId="3A8D7D65" w14:textId="77777777" w:rsidR="00690075" w:rsidRPr="00C121BA" w:rsidRDefault="00690075" w:rsidP="24173B80">
      <w:pPr>
        <w:rPr>
          <w:rFonts w:cs="Arial"/>
          <w:b/>
          <w:sz w:val="20"/>
          <w:szCs w:val="20"/>
          <w:lang w:val="en-GB"/>
        </w:rPr>
      </w:pPr>
    </w:p>
    <w:p w14:paraId="6110592A" w14:textId="77777777" w:rsidR="00690075" w:rsidRPr="00C121BA" w:rsidRDefault="00690075" w:rsidP="24173B80">
      <w:pPr>
        <w:rPr>
          <w:rFonts w:cs="Arial"/>
          <w:b/>
          <w:sz w:val="20"/>
          <w:szCs w:val="20"/>
          <w:lang w:val="en-GB"/>
        </w:rPr>
      </w:pPr>
    </w:p>
    <w:p w14:paraId="4B39996B" w14:textId="77777777" w:rsidR="00690075" w:rsidRPr="00C121BA" w:rsidRDefault="00690075" w:rsidP="24173B80">
      <w:pPr>
        <w:rPr>
          <w:rFonts w:cs="Arial"/>
          <w:b/>
          <w:sz w:val="20"/>
          <w:szCs w:val="20"/>
          <w:lang w:val="en-GB"/>
        </w:rPr>
      </w:pPr>
    </w:p>
    <w:p w14:paraId="7BBF6CB1" w14:textId="77777777" w:rsidR="00690075" w:rsidRPr="00C121BA" w:rsidRDefault="00690075" w:rsidP="24173B80">
      <w:pPr>
        <w:rPr>
          <w:rFonts w:cs="Arial"/>
          <w:b/>
          <w:sz w:val="20"/>
          <w:szCs w:val="20"/>
          <w:lang w:val="en-GB"/>
        </w:rPr>
      </w:pPr>
    </w:p>
    <w:p w14:paraId="79B9C5CC" w14:textId="77777777" w:rsidR="00690075" w:rsidRPr="00C121BA" w:rsidRDefault="00690075" w:rsidP="24173B80">
      <w:pPr>
        <w:rPr>
          <w:rFonts w:cs="Arial"/>
          <w:b/>
          <w:sz w:val="20"/>
          <w:szCs w:val="20"/>
          <w:lang w:val="en-GB"/>
        </w:rPr>
      </w:pPr>
    </w:p>
    <w:p w14:paraId="66E61AEB" w14:textId="77777777" w:rsidR="00690075" w:rsidRPr="00C121BA" w:rsidRDefault="00690075" w:rsidP="24173B80">
      <w:pPr>
        <w:rPr>
          <w:rFonts w:cs="Arial"/>
          <w:b/>
          <w:sz w:val="20"/>
          <w:szCs w:val="20"/>
          <w:lang w:val="en-GB"/>
        </w:rPr>
      </w:pPr>
    </w:p>
    <w:p w14:paraId="24A3944C" w14:textId="77777777" w:rsidR="00690075" w:rsidRPr="00C121BA" w:rsidRDefault="00690075" w:rsidP="24173B80">
      <w:pPr>
        <w:rPr>
          <w:rFonts w:cs="Arial"/>
          <w:b/>
          <w:sz w:val="20"/>
          <w:szCs w:val="20"/>
          <w:lang w:val="en-GB"/>
        </w:rPr>
      </w:pPr>
    </w:p>
    <w:sectPr w:rsidR="00690075" w:rsidRPr="00C121BA" w:rsidSect="00626F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23190" w14:textId="77777777" w:rsidR="00FE74AE" w:rsidRDefault="00FE74AE">
      <w:pPr>
        <w:spacing w:before="0" w:after="0"/>
      </w:pPr>
    </w:p>
  </w:endnote>
  <w:endnote w:type="continuationSeparator" w:id="0">
    <w:p w14:paraId="2E09791E" w14:textId="77777777" w:rsidR="00FE74AE" w:rsidRDefault="00FE74AE">
      <w:pPr>
        <w:spacing w:before="0" w:after="0"/>
      </w:pPr>
    </w:p>
  </w:endnote>
  <w:endnote w:type="continuationNotice" w:id="1">
    <w:p w14:paraId="6AB90675" w14:textId="77777777" w:rsidR="00FE74AE" w:rsidRDefault="00FE74A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5817A" w14:textId="77777777" w:rsidR="00865F8C" w:rsidRDefault="00865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34040" w14:textId="77777777" w:rsidR="00865F8C" w:rsidRDefault="00865F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1C847" w14:textId="77777777" w:rsidR="00865F8C" w:rsidRDefault="00865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116DB" w14:textId="77777777" w:rsidR="00FE74AE" w:rsidRDefault="00FE74AE">
      <w:pPr>
        <w:spacing w:before="0" w:after="0"/>
      </w:pPr>
    </w:p>
  </w:footnote>
  <w:footnote w:type="continuationSeparator" w:id="0">
    <w:p w14:paraId="1A6B32F1" w14:textId="77777777" w:rsidR="00FE74AE" w:rsidRDefault="00FE74AE">
      <w:pPr>
        <w:spacing w:before="0" w:after="0"/>
      </w:pPr>
    </w:p>
  </w:footnote>
  <w:footnote w:type="continuationNotice" w:id="1">
    <w:p w14:paraId="6DEC2A4B" w14:textId="77777777" w:rsidR="00FE74AE" w:rsidRDefault="00FE74A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8AF8E" w14:textId="77777777" w:rsidR="00865F8C" w:rsidRDefault="00865F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77AAA" w14:textId="77777777" w:rsidR="00865F8C" w:rsidRDefault="00865F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AF6DB" w14:textId="77777777" w:rsidR="00865F8C" w:rsidRDefault="00865F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52327"/>
    <w:multiLevelType w:val="hybridMultilevel"/>
    <w:tmpl w:val="72C6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32E1E"/>
    <w:multiLevelType w:val="hybridMultilevel"/>
    <w:tmpl w:val="D8826C1A"/>
    <w:lvl w:ilvl="0" w:tplc="73502806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708D0"/>
    <w:multiLevelType w:val="hybridMultilevel"/>
    <w:tmpl w:val="8C2CE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70B83"/>
    <w:multiLevelType w:val="hybridMultilevel"/>
    <w:tmpl w:val="AB9CEF4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07BA1A88"/>
    <w:multiLevelType w:val="hybridMultilevel"/>
    <w:tmpl w:val="08C4C0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824E3D"/>
    <w:multiLevelType w:val="hybridMultilevel"/>
    <w:tmpl w:val="625A8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401AB"/>
    <w:multiLevelType w:val="multilevel"/>
    <w:tmpl w:val="A4FC0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34E0348"/>
    <w:multiLevelType w:val="hybridMultilevel"/>
    <w:tmpl w:val="FBE2D32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90448"/>
    <w:multiLevelType w:val="hybridMultilevel"/>
    <w:tmpl w:val="DBF4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502806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417B7"/>
    <w:multiLevelType w:val="hybridMultilevel"/>
    <w:tmpl w:val="0C7E8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D7706"/>
    <w:multiLevelType w:val="hybridMultilevel"/>
    <w:tmpl w:val="EAAEC84A"/>
    <w:lvl w:ilvl="0" w:tplc="73502806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73502806"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2553AD"/>
    <w:multiLevelType w:val="hybridMultilevel"/>
    <w:tmpl w:val="CFA8E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017A3"/>
    <w:multiLevelType w:val="hybridMultilevel"/>
    <w:tmpl w:val="39DE8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26088"/>
    <w:multiLevelType w:val="hybridMultilevel"/>
    <w:tmpl w:val="D5442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D4C43"/>
    <w:multiLevelType w:val="hybridMultilevel"/>
    <w:tmpl w:val="C2ACFCBC"/>
    <w:lvl w:ilvl="0" w:tplc="50A05A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B48D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A603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FE1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5C1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C01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C6E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C6A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F85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6CA1584"/>
    <w:multiLevelType w:val="hybridMultilevel"/>
    <w:tmpl w:val="433A6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84FE0"/>
    <w:multiLevelType w:val="hybridMultilevel"/>
    <w:tmpl w:val="FAF678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104226"/>
    <w:multiLevelType w:val="hybridMultilevel"/>
    <w:tmpl w:val="DE1A33D4"/>
    <w:lvl w:ilvl="0" w:tplc="7350280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88D85C2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35A0E"/>
    <w:multiLevelType w:val="hybridMultilevel"/>
    <w:tmpl w:val="4888DC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6F526D"/>
    <w:multiLevelType w:val="hybridMultilevel"/>
    <w:tmpl w:val="7632D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85C2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9"/>
  </w:num>
  <w:num w:numId="5">
    <w:abstractNumId w:val="17"/>
  </w:num>
  <w:num w:numId="6">
    <w:abstractNumId w:val="10"/>
  </w:num>
  <w:num w:numId="7">
    <w:abstractNumId w:val="1"/>
  </w:num>
  <w:num w:numId="8">
    <w:abstractNumId w:val="8"/>
  </w:num>
  <w:num w:numId="9">
    <w:abstractNumId w:val="15"/>
  </w:num>
  <w:num w:numId="10">
    <w:abstractNumId w:val="0"/>
  </w:num>
  <w:num w:numId="11">
    <w:abstractNumId w:val="9"/>
  </w:num>
  <w:num w:numId="12">
    <w:abstractNumId w:val="2"/>
  </w:num>
  <w:num w:numId="13">
    <w:abstractNumId w:val="12"/>
  </w:num>
  <w:num w:numId="14">
    <w:abstractNumId w:val="5"/>
  </w:num>
  <w:num w:numId="15">
    <w:abstractNumId w:val="18"/>
  </w:num>
  <w:num w:numId="16">
    <w:abstractNumId w:val="3"/>
  </w:num>
  <w:num w:numId="17">
    <w:abstractNumId w:val="14"/>
  </w:num>
  <w:num w:numId="18">
    <w:abstractNumId w:val="11"/>
  </w:num>
  <w:num w:numId="19">
    <w:abstractNumId w:val="4"/>
  </w:num>
  <w:num w:numId="20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CB6"/>
    <w:rsid w:val="00001B41"/>
    <w:rsid w:val="00001F56"/>
    <w:rsid w:val="00001FF1"/>
    <w:rsid w:val="000020E9"/>
    <w:rsid w:val="0000495C"/>
    <w:rsid w:val="00010CBF"/>
    <w:rsid w:val="000140FE"/>
    <w:rsid w:val="0001425D"/>
    <w:rsid w:val="00014CB2"/>
    <w:rsid w:val="00016905"/>
    <w:rsid w:val="00017055"/>
    <w:rsid w:val="0002135E"/>
    <w:rsid w:val="00022593"/>
    <w:rsid w:val="000230A0"/>
    <w:rsid w:val="000235B5"/>
    <w:rsid w:val="00023946"/>
    <w:rsid w:val="000260E7"/>
    <w:rsid w:val="000267A1"/>
    <w:rsid w:val="000279F7"/>
    <w:rsid w:val="00027AF0"/>
    <w:rsid w:val="000302E9"/>
    <w:rsid w:val="00030771"/>
    <w:rsid w:val="00034343"/>
    <w:rsid w:val="00037D88"/>
    <w:rsid w:val="000402C0"/>
    <w:rsid w:val="00042C5D"/>
    <w:rsid w:val="000446C7"/>
    <w:rsid w:val="00045C4B"/>
    <w:rsid w:val="00045C9D"/>
    <w:rsid w:val="00047A3B"/>
    <w:rsid w:val="00050218"/>
    <w:rsid w:val="00051023"/>
    <w:rsid w:val="0005165F"/>
    <w:rsid w:val="00054562"/>
    <w:rsid w:val="00056B46"/>
    <w:rsid w:val="00060A4F"/>
    <w:rsid w:val="000632A0"/>
    <w:rsid w:val="00067053"/>
    <w:rsid w:val="000676B4"/>
    <w:rsid w:val="00067DD4"/>
    <w:rsid w:val="00073283"/>
    <w:rsid w:val="00073435"/>
    <w:rsid w:val="00073457"/>
    <w:rsid w:val="00073B4C"/>
    <w:rsid w:val="000747DA"/>
    <w:rsid w:val="00074D09"/>
    <w:rsid w:val="000753B6"/>
    <w:rsid w:val="00075426"/>
    <w:rsid w:val="00077904"/>
    <w:rsid w:val="00080AA2"/>
    <w:rsid w:val="00081704"/>
    <w:rsid w:val="00082CE7"/>
    <w:rsid w:val="00093816"/>
    <w:rsid w:val="0009392A"/>
    <w:rsid w:val="0009652A"/>
    <w:rsid w:val="000A082F"/>
    <w:rsid w:val="000A0DEA"/>
    <w:rsid w:val="000A6564"/>
    <w:rsid w:val="000B3710"/>
    <w:rsid w:val="000B442C"/>
    <w:rsid w:val="000B54F6"/>
    <w:rsid w:val="000B6920"/>
    <w:rsid w:val="000B6D86"/>
    <w:rsid w:val="000B6DE6"/>
    <w:rsid w:val="000C222C"/>
    <w:rsid w:val="000C30EE"/>
    <w:rsid w:val="000C3D93"/>
    <w:rsid w:val="000C459C"/>
    <w:rsid w:val="000C4C7A"/>
    <w:rsid w:val="000C60A2"/>
    <w:rsid w:val="000C6ACA"/>
    <w:rsid w:val="000D1907"/>
    <w:rsid w:val="000D248C"/>
    <w:rsid w:val="000D3367"/>
    <w:rsid w:val="000D4646"/>
    <w:rsid w:val="000D4EAB"/>
    <w:rsid w:val="000D4ED7"/>
    <w:rsid w:val="000E1E19"/>
    <w:rsid w:val="000E690E"/>
    <w:rsid w:val="000E692A"/>
    <w:rsid w:val="000F372F"/>
    <w:rsid w:val="000F4AA1"/>
    <w:rsid w:val="001051BF"/>
    <w:rsid w:val="00110448"/>
    <w:rsid w:val="0011101E"/>
    <w:rsid w:val="00112036"/>
    <w:rsid w:val="00112E4A"/>
    <w:rsid w:val="00113936"/>
    <w:rsid w:val="00120744"/>
    <w:rsid w:val="001233BF"/>
    <w:rsid w:val="0012590A"/>
    <w:rsid w:val="001329CA"/>
    <w:rsid w:val="00132A9A"/>
    <w:rsid w:val="00132F44"/>
    <w:rsid w:val="0013572E"/>
    <w:rsid w:val="00135EB4"/>
    <w:rsid w:val="00136DA1"/>
    <w:rsid w:val="00137079"/>
    <w:rsid w:val="0014229A"/>
    <w:rsid w:val="0014351C"/>
    <w:rsid w:val="00144DA9"/>
    <w:rsid w:val="0015475B"/>
    <w:rsid w:val="00160127"/>
    <w:rsid w:val="00162A3E"/>
    <w:rsid w:val="00162E5A"/>
    <w:rsid w:val="00163C88"/>
    <w:rsid w:val="001669E5"/>
    <w:rsid w:val="00166D51"/>
    <w:rsid w:val="00170758"/>
    <w:rsid w:val="00171C22"/>
    <w:rsid w:val="001726CF"/>
    <w:rsid w:val="00174AF4"/>
    <w:rsid w:val="00175AFD"/>
    <w:rsid w:val="00176E92"/>
    <w:rsid w:val="00180813"/>
    <w:rsid w:val="0018215E"/>
    <w:rsid w:val="0018346F"/>
    <w:rsid w:val="001849EC"/>
    <w:rsid w:val="00184A7C"/>
    <w:rsid w:val="00184F8F"/>
    <w:rsid w:val="00187351"/>
    <w:rsid w:val="00193168"/>
    <w:rsid w:val="00195E0D"/>
    <w:rsid w:val="00197F91"/>
    <w:rsid w:val="001A00DF"/>
    <w:rsid w:val="001A0301"/>
    <w:rsid w:val="001A142F"/>
    <w:rsid w:val="001A17BE"/>
    <w:rsid w:val="001A23B9"/>
    <w:rsid w:val="001A5141"/>
    <w:rsid w:val="001A6FAD"/>
    <w:rsid w:val="001A742D"/>
    <w:rsid w:val="001B0871"/>
    <w:rsid w:val="001B1A06"/>
    <w:rsid w:val="001B1CFB"/>
    <w:rsid w:val="001B28C4"/>
    <w:rsid w:val="001B3970"/>
    <w:rsid w:val="001B5ACA"/>
    <w:rsid w:val="001B664C"/>
    <w:rsid w:val="001C0145"/>
    <w:rsid w:val="001C4F96"/>
    <w:rsid w:val="001C6F9A"/>
    <w:rsid w:val="001C789A"/>
    <w:rsid w:val="001D0474"/>
    <w:rsid w:val="001D45EB"/>
    <w:rsid w:val="001D643D"/>
    <w:rsid w:val="001D7903"/>
    <w:rsid w:val="001E4233"/>
    <w:rsid w:val="001F21B2"/>
    <w:rsid w:val="001F2F39"/>
    <w:rsid w:val="001F3A2D"/>
    <w:rsid w:val="001F663F"/>
    <w:rsid w:val="001F6F60"/>
    <w:rsid w:val="00202316"/>
    <w:rsid w:val="002031FF"/>
    <w:rsid w:val="002033E4"/>
    <w:rsid w:val="002041F8"/>
    <w:rsid w:val="00212D0D"/>
    <w:rsid w:val="00213D2F"/>
    <w:rsid w:val="00213F60"/>
    <w:rsid w:val="002143C5"/>
    <w:rsid w:val="00215F92"/>
    <w:rsid w:val="002169C8"/>
    <w:rsid w:val="00217353"/>
    <w:rsid w:val="00220531"/>
    <w:rsid w:val="00221AF9"/>
    <w:rsid w:val="002231B2"/>
    <w:rsid w:val="0023088B"/>
    <w:rsid w:val="00230C59"/>
    <w:rsid w:val="002314C3"/>
    <w:rsid w:val="002316E0"/>
    <w:rsid w:val="00232C96"/>
    <w:rsid w:val="002355A5"/>
    <w:rsid w:val="0024116E"/>
    <w:rsid w:val="00241B1F"/>
    <w:rsid w:val="00242A4E"/>
    <w:rsid w:val="002469ED"/>
    <w:rsid w:val="002479DE"/>
    <w:rsid w:val="00250452"/>
    <w:rsid w:val="002535A6"/>
    <w:rsid w:val="00254757"/>
    <w:rsid w:val="002553A6"/>
    <w:rsid w:val="00256E3E"/>
    <w:rsid w:val="0025754B"/>
    <w:rsid w:val="002608B3"/>
    <w:rsid w:val="002624D4"/>
    <w:rsid w:val="00262AB5"/>
    <w:rsid w:val="0026311B"/>
    <w:rsid w:val="00264C71"/>
    <w:rsid w:val="002650EB"/>
    <w:rsid w:val="0026547B"/>
    <w:rsid w:val="00265779"/>
    <w:rsid w:val="002665CB"/>
    <w:rsid w:val="00266D6B"/>
    <w:rsid w:val="00272DBA"/>
    <w:rsid w:val="00272E33"/>
    <w:rsid w:val="00273BD5"/>
    <w:rsid w:val="00273E10"/>
    <w:rsid w:val="00274442"/>
    <w:rsid w:val="00274614"/>
    <w:rsid w:val="00274A1C"/>
    <w:rsid w:val="00276AEE"/>
    <w:rsid w:val="002818A2"/>
    <w:rsid w:val="00281E3A"/>
    <w:rsid w:val="00282BFF"/>
    <w:rsid w:val="002854B0"/>
    <w:rsid w:val="00292970"/>
    <w:rsid w:val="00294693"/>
    <w:rsid w:val="00295063"/>
    <w:rsid w:val="0029557B"/>
    <w:rsid w:val="0029686C"/>
    <w:rsid w:val="002968E0"/>
    <w:rsid w:val="00296B79"/>
    <w:rsid w:val="00297F59"/>
    <w:rsid w:val="002A021C"/>
    <w:rsid w:val="002A0462"/>
    <w:rsid w:val="002A22CE"/>
    <w:rsid w:val="002A2DEE"/>
    <w:rsid w:val="002A3ADB"/>
    <w:rsid w:val="002A5734"/>
    <w:rsid w:val="002A60C5"/>
    <w:rsid w:val="002B008B"/>
    <w:rsid w:val="002B16A3"/>
    <w:rsid w:val="002B2DCE"/>
    <w:rsid w:val="002B5926"/>
    <w:rsid w:val="002C0015"/>
    <w:rsid w:val="002C6C6C"/>
    <w:rsid w:val="002D4F56"/>
    <w:rsid w:val="002D6E2B"/>
    <w:rsid w:val="002E02B9"/>
    <w:rsid w:val="002E0B2F"/>
    <w:rsid w:val="002E5A2F"/>
    <w:rsid w:val="002E5D2B"/>
    <w:rsid w:val="002E66B8"/>
    <w:rsid w:val="002E6705"/>
    <w:rsid w:val="002E7BF1"/>
    <w:rsid w:val="002F19F4"/>
    <w:rsid w:val="002F39A7"/>
    <w:rsid w:val="002F4814"/>
    <w:rsid w:val="002F4EA5"/>
    <w:rsid w:val="002F6A35"/>
    <w:rsid w:val="003014A1"/>
    <w:rsid w:val="00304FAE"/>
    <w:rsid w:val="00305261"/>
    <w:rsid w:val="00305424"/>
    <w:rsid w:val="00306F1C"/>
    <w:rsid w:val="003104D4"/>
    <w:rsid w:val="00314516"/>
    <w:rsid w:val="003146B5"/>
    <w:rsid w:val="00314BE8"/>
    <w:rsid w:val="003158D2"/>
    <w:rsid w:val="00315DD2"/>
    <w:rsid w:val="003162BD"/>
    <w:rsid w:val="00321A3C"/>
    <w:rsid w:val="003220A2"/>
    <w:rsid w:val="00322C52"/>
    <w:rsid w:val="0032433F"/>
    <w:rsid w:val="00324DD0"/>
    <w:rsid w:val="003259DE"/>
    <w:rsid w:val="00327283"/>
    <w:rsid w:val="00327976"/>
    <w:rsid w:val="003303B2"/>
    <w:rsid w:val="00330EA8"/>
    <w:rsid w:val="00331AE9"/>
    <w:rsid w:val="00331F60"/>
    <w:rsid w:val="00337E85"/>
    <w:rsid w:val="0034246E"/>
    <w:rsid w:val="003436F1"/>
    <w:rsid w:val="00343CCC"/>
    <w:rsid w:val="00344206"/>
    <w:rsid w:val="00344C1C"/>
    <w:rsid w:val="003458FD"/>
    <w:rsid w:val="00345F5F"/>
    <w:rsid w:val="003468E9"/>
    <w:rsid w:val="0034731E"/>
    <w:rsid w:val="00347416"/>
    <w:rsid w:val="00350512"/>
    <w:rsid w:val="00350963"/>
    <w:rsid w:val="00353F90"/>
    <w:rsid w:val="003550F2"/>
    <w:rsid w:val="00360617"/>
    <w:rsid w:val="003625DB"/>
    <w:rsid w:val="003651D6"/>
    <w:rsid w:val="00370568"/>
    <w:rsid w:val="00372914"/>
    <w:rsid w:val="00377D4F"/>
    <w:rsid w:val="003820F9"/>
    <w:rsid w:val="0038282D"/>
    <w:rsid w:val="003836F7"/>
    <w:rsid w:val="00383E98"/>
    <w:rsid w:val="00384C99"/>
    <w:rsid w:val="003859D9"/>
    <w:rsid w:val="00386024"/>
    <w:rsid w:val="00386A71"/>
    <w:rsid w:val="00390219"/>
    <w:rsid w:val="00390682"/>
    <w:rsid w:val="00395F79"/>
    <w:rsid w:val="00397E06"/>
    <w:rsid w:val="003A1B0E"/>
    <w:rsid w:val="003A1E08"/>
    <w:rsid w:val="003A2D43"/>
    <w:rsid w:val="003A3299"/>
    <w:rsid w:val="003A5187"/>
    <w:rsid w:val="003B14D0"/>
    <w:rsid w:val="003B2968"/>
    <w:rsid w:val="003B3201"/>
    <w:rsid w:val="003B4618"/>
    <w:rsid w:val="003B48B2"/>
    <w:rsid w:val="003B5C4E"/>
    <w:rsid w:val="003B7F55"/>
    <w:rsid w:val="003C060E"/>
    <w:rsid w:val="003C0E0D"/>
    <w:rsid w:val="003C0F44"/>
    <w:rsid w:val="003C1A26"/>
    <w:rsid w:val="003C43BF"/>
    <w:rsid w:val="003C4562"/>
    <w:rsid w:val="003C4F49"/>
    <w:rsid w:val="003C53D3"/>
    <w:rsid w:val="003D245B"/>
    <w:rsid w:val="003D321F"/>
    <w:rsid w:val="003D4585"/>
    <w:rsid w:val="003D4626"/>
    <w:rsid w:val="003D4F71"/>
    <w:rsid w:val="003D6DF4"/>
    <w:rsid w:val="003E02F5"/>
    <w:rsid w:val="003E20B1"/>
    <w:rsid w:val="003E309A"/>
    <w:rsid w:val="003E4938"/>
    <w:rsid w:val="003E5E30"/>
    <w:rsid w:val="003E6306"/>
    <w:rsid w:val="003F3FFC"/>
    <w:rsid w:val="003F779D"/>
    <w:rsid w:val="00401E8C"/>
    <w:rsid w:val="00403E23"/>
    <w:rsid w:val="00406049"/>
    <w:rsid w:val="004073D9"/>
    <w:rsid w:val="00407957"/>
    <w:rsid w:val="00410B4C"/>
    <w:rsid w:val="00413B55"/>
    <w:rsid w:val="00414915"/>
    <w:rsid w:val="00414B3F"/>
    <w:rsid w:val="004165FB"/>
    <w:rsid w:val="00416D9F"/>
    <w:rsid w:val="00420562"/>
    <w:rsid w:val="004218BD"/>
    <w:rsid w:val="00421EEC"/>
    <w:rsid w:val="00423947"/>
    <w:rsid w:val="0042462B"/>
    <w:rsid w:val="00426246"/>
    <w:rsid w:val="0043584D"/>
    <w:rsid w:val="00441E1D"/>
    <w:rsid w:val="00443C62"/>
    <w:rsid w:val="0044401F"/>
    <w:rsid w:val="00446CE3"/>
    <w:rsid w:val="004511BF"/>
    <w:rsid w:val="00454252"/>
    <w:rsid w:val="00457EE7"/>
    <w:rsid w:val="00462CEC"/>
    <w:rsid w:val="00463638"/>
    <w:rsid w:val="004643D7"/>
    <w:rsid w:val="00466C21"/>
    <w:rsid w:val="00466FEA"/>
    <w:rsid w:val="00467D7C"/>
    <w:rsid w:val="00470122"/>
    <w:rsid w:val="00471915"/>
    <w:rsid w:val="00472140"/>
    <w:rsid w:val="004722E8"/>
    <w:rsid w:val="0047345D"/>
    <w:rsid w:val="00474999"/>
    <w:rsid w:val="0047653E"/>
    <w:rsid w:val="00476A86"/>
    <w:rsid w:val="00477516"/>
    <w:rsid w:val="0047798C"/>
    <w:rsid w:val="00481420"/>
    <w:rsid w:val="00481605"/>
    <w:rsid w:val="00481C9D"/>
    <w:rsid w:val="00481DDF"/>
    <w:rsid w:val="004852D0"/>
    <w:rsid w:val="00486CB0"/>
    <w:rsid w:val="00487F9B"/>
    <w:rsid w:val="00493009"/>
    <w:rsid w:val="00495FCE"/>
    <w:rsid w:val="00497A32"/>
    <w:rsid w:val="00497A90"/>
    <w:rsid w:val="004A04DE"/>
    <w:rsid w:val="004A16C7"/>
    <w:rsid w:val="004A1FDC"/>
    <w:rsid w:val="004A25F2"/>
    <w:rsid w:val="004A2E77"/>
    <w:rsid w:val="004A43BE"/>
    <w:rsid w:val="004A4E7F"/>
    <w:rsid w:val="004A5FC2"/>
    <w:rsid w:val="004A6978"/>
    <w:rsid w:val="004A7C1F"/>
    <w:rsid w:val="004B0AD0"/>
    <w:rsid w:val="004B11A6"/>
    <w:rsid w:val="004B11A7"/>
    <w:rsid w:val="004B3C9B"/>
    <w:rsid w:val="004B6CDC"/>
    <w:rsid w:val="004C0D81"/>
    <w:rsid w:val="004C304A"/>
    <w:rsid w:val="004C4C97"/>
    <w:rsid w:val="004C6451"/>
    <w:rsid w:val="004C6872"/>
    <w:rsid w:val="004D1122"/>
    <w:rsid w:val="004D223F"/>
    <w:rsid w:val="004E6033"/>
    <w:rsid w:val="004E6873"/>
    <w:rsid w:val="004F0122"/>
    <w:rsid w:val="004F35A3"/>
    <w:rsid w:val="004F45B0"/>
    <w:rsid w:val="004F485F"/>
    <w:rsid w:val="004F4A8F"/>
    <w:rsid w:val="0050095C"/>
    <w:rsid w:val="005013FC"/>
    <w:rsid w:val="00510675"/>
    <w:rsid w:val="005139A7"/>
    <w:rsid w:val="00514B33"/>
    <w:rsid w:val="00516B5F"/>
    <w:rsid w:val="005170CD"/>
    <w:rsid w:val="00517B06"/>
    <w:rsid w:val="00520A49"/>
    <w:rsid w:val="005221AE"/>
    <w:rsid w:val="00522FD1"/>
    <w:rsid w:val="00525314"/>
    <w:rsid w:val="005305ED"/>
    <w:rsid w:val="0053143E"/>
    <w:rsid w:val="00534F7A"/>
    <w:rsid w:val="00536C52"/>
    <w:rsid w:val="005434A7"/>
    <w:rsid w:val="00546020"/>
    <w:rsid w:val="005507D4"/>
    <w:rsid w:val="00552CF4"/>
    <w:rsid w:val="005544FD"/>
    <w:rsid w:val="005547C0"/>
    <w:rsid w:val="00555FC9"/>
    <w:rsid w:val="00560BCC"/>
    <w:rsid w:val="0056104C"/>
    <w:rsid w:val="0056174F"/>
    <w:rsid w:val="00566D8A"/>
    <w:rsid w:val="00570F7E"/>
    <w:rsid w:val="0057248D"/>
    <w:rsid w:val="00572FC9"/>
    <w:rsid w:val="0057337D"/>
    <w:rsid w:val="00574F2D"/>
    <w:rsid w:val="0058251C"/>
    <w:rsid w:val="005826EB"/>
    <w:rsid w:val="005827A3"/>
    <w:rsid w:val="00585D13"/>
    <w:rsid w:val="00590C3A"/>
    <w:rsid w:val="00592EC7"/>
    <w:rsid w:val="0059545C"/>
    <w:rsid w:val="00595881"/>
    <w:rsid w:val="00597FCC"/>
    <w:rsid w:val="005A08D4"/>
    <w:rsid w:val="005A313B"/>
    <w:rsid w:val="005A481C"/>
    <w:rsid w:val="005A4946"/>
    <w:rsid w:val="005A78CB"/>
    <w:rsid w:val="005B373A"/>
    <w:rsid w:val="005B41DE"/>
    <w:rsid w:val="005B4AED"/>
    <w:rsid w:val="005B53CB"/>
    <w:rsid w:val="005B5505"/>
    <w:rsid w:val="005B5F4E"/>
    <w:rsid w:val="005B609A"/>
    <w:rsid w:val="005B6C03"/>
    <w:rsid w:val="005B7351"/>
    <w:rsid w:val="005B7B35"/>
    <w:rsid w:val="005B7C75"/>
    <w:rsid w:val="005C1E9A"/>
    <w:rsid w:val="005C20B7"/>
    <w:rsid w:val="005C28B0"/>
    <w:rsid w:val="005C28CC"/>
    <w:rsid w:val="005C32B7"/>
    <w:rsid w:val="005C387F"/>
    <w:rsid w:val="005C5624"/>
    <w:rsid w:val="005C56E4"/>
    <w:rsid w:val="005D5F67"/>
    <w:rsid w:val="005D60FD"/>
    <w:rsid w:val="005E6647"/>
    <w:rsid w:val="005F0D35"/>
    <w:rsid w:val="005F1D4D"/>
    <w:rsid w:val="005F3244"/>
    <w:rsid w:val="005F4413"/>
    <w:rsid w:val="005F5A7C"/>
    <w:rsid w:val="005F657B"/>
    <w:rsid w:val="005F7648"/>
    <w:rsid w:val="005F77EF"/>
    <w:rsid w:val="0060160E"/>
    <w:rsid w:val="00601D73"/>
    <w:rsid w:val="00604452"/>
    <w:rsid w:val="00604D89"/>
    <w:rsid w:val="00605045"/>
    <w:rsid w:val="006050AB"/>
    <w:rsid w:val="00605AA7"/>
    <w:rsid w:val="00607A5D"/>
    <w:rsid w:val="00610031"/>
    <w:rsid w:val="00613A1E"/>
    <w:rsid w:val="0061456C"/>
    <w:rsid w:val="00616F9A"/>
    <w:rsid w:val="00621511"/>
    <w:rsid w:val="0062297A"/>
    <w:rsid w:val="00622E99"/>
    <w:rsid w:val="00626F38"/>
    <w:rsid w:val="00626F3A"/>
    <w:rsid w:val="006309E0"/>
    <w:rsid w:val="006334B2"/>
    <w:rsid w:val="006335D4"/>
    <w:rsid w:val="00636A98"/>
    <w:rsid w:val="0064105F"/>
    <w:rsid w:val="0064511B"/>
    <w:rsid w:val="00646B1F"/>
    <w:rsid w:val="00650E6B"/>
    <w:rsid w:val="00650EEA"/>
    <w:rsid w:val="00651EA9"/>
    <w:rsid w:val="00651F2A"/>
    <w:rsid w:val="006534C1"/>
    <w:rsid w:val="006562D0"/>
    <w:rsid w:val="006563A8"/>
    <w:rsid w:val="00657946"/>
    <w:rsid w:val="00657E67"/>
    <w:rsid w:val="0066064F"/>
    <w:rsid w:val="006608D1"/>
    <w:rsid w:val="00661E3B"/>
    <w:rsid w:val="00663230"/>
    <w:rsid w:val="006644EA"/>
    <w:rsid w:val="00670D8F"/>
    <w:rsid w:val="006715FB"/>
    <w:rsid w:val="00671A62"/>
    <w:rsid w:val="006721D7"/>
    <w:rsid w:val="00672401"/>
    <w:rsid w:val="0067773B"/>
    <w:rsid w:val="006822E1"/>
    <w:rsid w:val="00682A6D"/>
    <w:rsid w:val="00683522"/>
    <w:rsid w:val="00687860"/>
    <w:rsid w:val="00690075"/>
    <w:rsid w:val="00690615"/>
    <w:rsid w:val="006923CC"/>
    <w:rsid w:val="00693323"/>
    <w:rsid w:val="00693F1F"/>
    <w:rsid w:val="00694263"/>
    <w:rsid w:val="006945B6"/>
    <w:rsid w:val="00697CCF"/>
    <w:rsid w:val="006A1AD6"/>
    <w:rsid w:val="006A33D2"/>
    <w:rsid w:val="006A3563"/>
    <w:rsid w:val="006A3A90"/>
    <w:rsid w:val="006A7D05"/>
    <w:rsid w:val="006B054F"/>
    <w:rsid w:val="006B06A5"/>
    <w:rsid w:val="006B139C"/>
    <w:rsid w:val="006B1E59"/>
    <w:rsid w:val="006B21E4"/>
    <w:rsid w:val="006B248E"/>
    <w:rsid w:val="006B2CA1"/>
    <w:rsid w:val="006B35FE"/>
    <w:rsid w:val="006B3C66"/>
    <w:rsid w:val="006B5654"/>
    <w:rsid w:val="006B7AA3"/>
    <w:rsid w:val="006C6C53"/>
    <w:rsid w:val="006C6FCA"/>
    <w:rsid w:val="006C732B"/>
    <w:rsid w:val="006C7863"/>
    <w:rsid w:val="006D1B36"/>
    <w:rsid w:val="006D52D3"/>
    <w:rsid w:val="006D67D2"/>
    <w:rsid w:val="006E174F"/>
    <w:rsid w:val="006E3971"/>
    <w:rsid w:val="006E3C52"/>
    <w:rsid w:val="006E4A91"/>
    <w:rsid w:val="006F018D"/>
    <w:rsid w:val="006F08B1"/>
    <w:rsid w:val="006F0973"/>
    <w:rsid w:val="006F0FF6"/>
    <w:rsid w:val="007001D7"/>
    <w:rsid w:val="0070068E"/>
    <w:rsid w:val="00701D28"/>
    <w:rsid w:val="00702108"/>
    <w:rsid w:val="00707496"/>
    <w:rsid w:val="007077F7"/>
    <w:rsid w:val="0071057A"/>
    <w:rsid w:val="00710B29"/>
    <w:rsid w:val="007126CD"/>
    <w:rsid w:val="007149C1"/>
    <w:rsid w:val="00717991"/>
    <w:rsid w:val="00726990"/>
    <w:rsid w:val="007314EB"/>
    <w:rsid w:val="00731E49"/>
    <w:rsid w:val="00734FE9"/>
    <w:rsid w:val="007357B3"/>
    <w:rsid w:val="00735908"/>
    <w:rsid w:val="007377BC"/>
    <w:rsid w:val="007377D8"/>
    <w:rsid w:val="00741644"/>
    <w:rsid w:val="0074172B"/>
    <w:rsid w:val="00744519"/>
    <w:rsid w:val="00746BB8"/>
    <w:rsid w:val="0074777E"/>
    <w:rsid w:val="007501A0"/>
    <w:rsid w:val="0075229B"/>
    <w:rsid w:val="00755B70"/>
    <w:rsid w:val="00755C7B"/>
    <w:rsid w:val="00757AF9"/>
    <w:rsid w:val="00760706"/>
    <w:rsid w:val="00762837"/>
    <w:rsid w:val="0076318B"/>
    <w:rsid w:val="00764D01"/>
    <w:rsid w:val="007659FF"/>
    <w:rsid w:val="00766560"/>
    <w:rsid w:val="00773DFC"/>
    <w:rsid w:val="00773F06"/>
    <w:rsid w:val="00774285"/>
    <w:rsid w:val="007748AF"/>
    <w:rsid w:val="00776431"/>
    <w:rsid w:val="00776521"/>
    <w:rsid w:val="00777B93"/>
    <w:rsid w:val="0078007F"/>
    <w:rsid w:val="00786B55"/>
    <w:rsid w:val="007943CB"/>
    <w:rsid w:val="00794E46"/>
    <w:rsid w:val="007A2A4B"/>
    <w:rsid w:val="007A2E73"/>
    <w:rsid w:val="007A3364"/>
    <w:rsid w:val="007A4256"/>
    <w:rsid w:val="007A4588"/>
    <w:rsid w:val="007A59CE"/>
    <w:rsid w:val="007A622C"/>
    <w:rsid w:val="007A6C99"/>
    <w:rsid w:val="007B2662"/>
    <w:rsid w:val="007B37AD"/>
    <w:rsid w:val="007B3E49"/>
    <w:rsid w:val="007C076B"/>
    <w:rsid w:val="007C181C"/>
    <w:rsid w:val="007C50B9"/>
    <w:rsid w:val="007C66A9"/>
    <w:rsid w:val="007C722F"/>
    <w:rsid w:val="007D0B40"/>
    <w:rsid w:val="007D5293"/>
    <w:rsid w:val="007E020E"/>
    <w:rsid w:val="007E0976"/>
    <w:rsid w:val="007E5323"/>
    <w:rsid w:val="007E6035"/>
    <w:rsid w:val="007E7056"/>
    <w:rsid w:val="007E7845"/>
    <w:rsid w:val="007F7D80"/>
    <w:rsid w:val="00801872"/>
    <w:rsid w:val="00803002"/>
    <w:rsid w:val="00805AC6"/>
    <w:rsid w:val="00805ECF"/>
    <w:rsid w:val="0081041E"/>
    <w:rsid w:val="0081186F"/>
    <w:rsid w:val="00814344"/>
    <w:rsid w:val="008222E8"/>
    <w:rsid w:val="0082589A"/>
    <w:rsid w:val="00830CD1"/>
    <w:rsid w:val="00830EB3"/>
    <w:rsid w:val="0083126A"/>
    <w:rsid w:val="008333F7"/>
    <w:rsid w:val="00836DF7"/>
    <w:rsid w:val="00843985"/>
    <w:rsid w:val="00845360"/>
    <w:rsid w:val="008476FC"/>
    <w:rsid w:val="008478F5"/>
    <w:rsid w:val="00852195"/>
    <w:rsid w:val="0085246A"/>
    <w:rsid w:val="00854E0E"/>
    <w:rsid w:val="0085576D"/>
    <w:rsid w:val="00855EF0"/>
    <w:rsid w:val="00856560"/>
    <w:rsid w:val="00856E76"/>
    <w:rsid w:val="008619A4"/>
    <w:rsid w:val="00863A65"/>
    <w:rsid w:val="00864D19"/>
    <w:rsid w:val="00865F8C"/>
    <w:rsid w:val="00866BE1"/>
    <w:rsid w:val="00867425"/>
    <w:rsid w:val="00867A79"/>
    <w:rsid w:val="00871513"/>
    <w:rsid w:val="008730F2"/>
    <w:rsid w:val="00873FF8"/>
    <w:rsid w:val="00874DE9"/>
    <w:rsid w:val="00876B8F"/>
    <w:rsid w:val="00882FFC"/>
    <w:rsid w:val="008832EE"/>
    <w:rsid w:val="00883F32"/>
    <w:rsid w:val="0088448A"/>
    <w:rsid w:val="00886479"/>
    <w:rsid w:val="00886AD8"/>
    <w:rsid w:val="00890265"/>
    <w:rsid w:val="00890BFA"/>
    <w:rsid w:val="00892549"/>
    <w:rsid w:val="008954CF"/>
    <w:rsid w:val="00896883"/>
    <w:rsid w:val="008A2AE5"/>
    <w:rsid w:val="008A2D24"/>
    <w:rsid w:val="008A4B7B"/>
    <w:rsid w:val="008A522E"/>
    <w:rsid w:val="008A698A"/>
    <w:rsid w:val="008A7017"/>
    <w:rsid w:val="008B07E3"/>
    <w:rsid w:val="008B633B"/>
    <w:rsid w:val="008B660E"/>
    <w:rsid w:val="008B7D57"/>
    <w:rsid w:val="008B7D6C"/>
    <w:rsid w:val="008C09B0"/>
    <w:rsid w:val="008C4385"/>
    <w:rsid w:val="008C4BEA"/>
    <w:rsid w:val="008D0225"/>
    <w:rsid w:val="008D096E"/>
    <w:rsid w:val="008D2199"/>
    <w:rsid w:val="008D3C71"/>
    <w:rsid w:val="008D5D0C"/>
    <w:rsid w:val="008E58A8"/>
    <w:rsid w:val="008E6BCF"/>
    <w:rsid w:val="008F12CA"/>
    <w:rsid w:val="008F2C95"/>
    <w:rsid w:val="008F324E"/>
    <w:rsid w:val="008F5387"/>
    <w:rsid w:val="008F5D76"/>
    <w:rsid w:val="008F7FEE"/>
    <w:rsid w:val="00901688"/>
    <w:rsid w:val="00901E99"/>
    <w:rsid w:val="00902B6D"/>
    <w:rsid w:val="00904BBF"/>
    <w:rsid w:val="00905246"/>
    <w:rsid w:val="009059F8"/>
    <w:rsid w:val="00905C63"/>
    <w:rsid w:val="009061DB"/>
    <w:rsid w:val="009069C9"/>
    <w:rsid w:val="00907289"/>
    <w:rsid w:val="00907EF3"/>
    <w:rsid w:val="009139E1"/>
    <w:rsid w:val="009145DF"/>
    <w:rsid w:val="009156B5"/>
    <w:rsid w:val="00922A4E"/>
    <w:rsid w:val="00922AAC"/>
    <w:rsid w:val="009231B2"/>
    <w:rsid w:val="009253BB"/>
    <w:rsid w:val="00925F26"/>
    <w:rsid w:val="009262D0"/>
    <w:rsid w:val="0093240A"/>
    <w:rsid w:val="00934B78"/>
    <w:rsid w:val="009374D3"/>
    <w:rsid w:val="00941EF8"/>
    <w:rsid w:val="00942616"/>
    <w:rsid w:val="009434EA"/>
    <w:rsid w:val="0094606E"/>
    <w:rsid w:val="00951D9B"/>
    <w:rsid w:val="00951DBD"/>
    <w:rsid w:val="00955258"/>
    <w:rsid w:val="00955648"/>
    <w:rsid w:val="00955855"/>
    <w:rsid w:val="009571E2"/>
    <w:rsid w:val="00961058"/>
    <w:rsid w:val="00961269"/>
    <w:rsid w:val="00963245"/>
    <w:rsid w:val="00964C59"/>
    <w:rsid w:val="00965A48"/>
    <w:rsid w:val="00966D10"/>
    <w:rsid w:val="00971135"/>
    <w:rsid w:val="00972052"/>
    <w:rsid w:val="009768B0"/>
    <w:rsid w:val="0098006C"/>
    <w:rsid w:val="009808F9"/>
    <w:rsid w:val="00986DFD"/>
    <w:rsid w:val="00990B35"/>
    <w:rsid w:val="00990D91"/>
    <w:rsid w:val="0099143C"/>
    <w:rsid w:val="00991C46"/>
    <w:rsid w:val="00991FDF"/>
    <w:rsid w:val="0099372B"/>
    <w:rsid w:val="009956B1"/>
    <w:rsid w:val="009975C3"/>
    <w:rsid w:val="00997F34"/>
    <w:rsid w:val="009A14E3"/>
    <w:rsid w:val="009A230D"/>
    <w:rsid w:val="009A23EF"/>
    <w:rsid w:val="009A2688"/>
    <w:rsid w:val="009A352D"/>
    <w:rsid w:val="009A3EF7"/>
    <w:rsid w:val="009A5776"/>
    <w:rsid w:val="009A5C17"/>
    <w:rsid w:val="009A68F5"/>
    <w:rsid w:val="009A73CE"/>
    <w:rsid w:val="009B0A41"/>
    <w:rsid w:val="009B26D3"/>
    <w:rsid w:val="009B2CED"/>
    <w:rsid w:val="009B3A0C"/>
    <w:rsid w:val="009B57FD"/>
    <w:rsid w:val="009C0627"/>
    <w:rsid w:val="009C779C"/>
    <w:rsid w:val="009D3125"/>
    <w:rsid w:val="009D366B"/>
    <w:rsid w:val="009D6BC3"/>
    <w:rsid w:val="009D753E"/>
    <w:rsid w:val="009D79FC"/>
    <w:rsid w:val="009E0126"/>
    <w:rsid w:val="009E0F6D"/>
    <w:rsid w:val="009E61A7"/>
    <w:rsid w:val="009E6BC6"/>
    <w:rsid w:val="009F1F03"/>
    <w:rsid w:val="009F7EBA"/>
    <w:rsid w:val="00A00106"/>
    <w:rsid w:val="00A01B49"/>
    <w:rsid w:val="00A024C0"/>
    <w:rsid w:val="00A0338F"/>
    <w:rsid w:val="00A03D29"/>
    <w:rsid w:val="00A0544E"/>
    <w:rsid w:val="00A12431"/>
    <w:rsid w:val="00A12F4A"/>
    <w:rsid w:val="00A13337"/>
    <w:rsid w:val="00A134C0"/>
    <w:rsid w:val="00A13CB9"/>
    <w:rsid w:val="00A15185"/>
    <w:rsid w:val="00A1730C"/>
    <w:rsid w:val="00A176DE"/>
    <w:rsid w:val="00A21DAB"/>
    <w:rsid w:val="00A21FFE"/>
    <w:rsid w:val="00A232AD"/>
    <w:rsid w:val="00A250C5"/>
    <w:rsid w:val="00A27797"/>
    <w:rsid w:val="00A331CD"/>
    <w:rsid w:val="00A33FA3"/>
    <w:rsid w:val="00A34E62"/>
    <w:rsid w:val="00A3576C"/>
    <w:rsid w:val="00A35BE2"/>
    <w:rsid w:val="00A36037"/>
    <w:rsid w:val="00A367EE"/>
    <w:rsid w:val="00A41B43"/>
    <w:rsid w:val="00A41D20"/>
    <w:rsid w:val="00A45E75"/>
    <w:rsid w:val="00A45FA5"/>
    <w:rsid w:val="00A477AC"/>
    <w:rsid w:val="00A51465"/>
    <w:rsid w:val="00A5390B"/>
    <w:rsid w:val="00A55D2E"/>
    <w:rsid w:val="00A57C1F"/>
    <w:rsid w:val="00A61DDB"/>
    <w:rsid w:val="00A62762"/>
    <w:rsid w:val="00A62DD8"/>
    <w:rsid w:val="00A72F4B"/>
    <w:rsid w:val="00A75BD6"/>
    <w:rsid w:val="00A80038"/>
    <w:rsid w:val="00A80B95"/>
    <w:rsid w:val="00A86BB3"/>
    <w:rsid w:val="00A86FC0"/>
    <w:rsid w:val="00A87E53"/>
    <w:rsid w:val="00A9157E"/>
    <w:rsid w:val="00A918F0"/>
    <w:rsid w:val="00A94E17"/>
    <w:rsid w:val="00A9740A"/>
    <w:rsid w:val="00AA0964"/>
    <w:rsid w:val="00AA0DCA"/>
    <w:rsid w:val="00AA340C"/>
    <w:rsid w:val="00AA59EA"/>
    <w:rsid w:val="00AA6DF3"/>
    <w:rsid w:val="00AB0344"/>
    <w:rsid w:val="00AB1CA8"/>
    <w:rsid w:val="00AB553E"/>
    <w:rsid w:val="00AB5D5E"/>
    <w:rsid w:val="00AC0604"/>
    <w:rsid w:val="00AC1A4D"/>
    <w:rsid w:val="00AC1BB2"/>
    <w:rsid w:val="00AC29F7"/>
    <w:rsid w:val="00AC2F79"/>
    <w:rsid w:val="00AC40D7"/>
    <w:rsid w:val="00AC4350"/>
    <w:rsid w:val="00AC50CB"/>
    <w:rsid w:val="00AC5D5A"/>
    <w:rsid w:val="00AC72E3"/>
    <w:rsid w:val="00AD0B16"/>
    <w:rsid w:val="00AD1568"/>
    <w:rsid w:val="00AD3082"/>
    <w:rsid w:val="00AD3302"/>
    <w:rsid w:val="00AD5BC0"/>
    <w:rsid w:val="00AD7E78"/>
    <w:rsid w:val="00AE091F"/>
    <w:rsid w:val="00AE4249"/>
    <w:rsid w:val="00AE6110"/>
    <w:rsid w:val="00AE6BF5"/>
    <w:rsid w:val="00AE7342"/>
    <w:rsid w:val="00AE7C2A"/>
    <w:rsid w:val="00AF1B51"/>
    <w:rsid w:val="00AF1E1E"/>
    <w:rsid w:val="00AF243B"/>
    <w:rsid w:val="00AF3443"/>
    <w:rsid w:val="00AF3873"/>
    <w:rsid w:val="00AF6B84"/>
    <w:rsid w:val="00B03117"/>
    <w:rsid w:val="00B064A2"/>
    <w:rsid w:val="00B068BB"/>
    <w:rsid w:val="00B079D0"/>
    <w:rsid w:val="00B07E65"/>
    <w:rsid w:val="00B10862"/>
    <w:rsid w:val="00B147EF"/>
    <w:rsid w:val="00B14E8A"/>
    <w:rsid w:val="00B1582B"/>
    <w:rsid w:val="00B15F03"/>
    <w:rsid w:val="00B22505"/>
    <w:rsid w:val="00B31124"/>
    <w:rsid w:val="00B315B0"/>
    <w:rsid w:val="00B31DA0"/>
    <w:rsid w:val="00B3252A"/>
    <w:rsid w:val="00B34915"/>
    <w:rsid w:val="00B35309"/>
    <w:rsid w:val="00B368DC"/>
    <w:rsid w:val="00B37E0B"/>
    <w:rsid w:val="00B40088"/>
    <w:rsid w:val="00B400DA"/>
    <w:rsid w:val="00B420BE"/>
    <w:rsid w:val="00B423A3"/>
    <w:rsid w:val="00B46218"/>
    <w:rsid w:val="00B51A65"/>
    <w:rsid w:val="00B51B88"/>
    <w:rsid w:val="00B57BC9"/>
    <w:rsid w:val="00B626F7"/>
    <w:rsid w:val="00B631C8"/>
    <w:rsid w:val="00B63CD9"/>
    <w:rsid w:val="00B64EE0"/>
    <w:rsid w:val="00B651EC"/>
    <w:rsid w:val="00B665D2"/>
    <w:rsid w:val="00B67058"/>
    <w:rsid w:val="00B72202"/>
    <w:rsid w:val="00B72845"/>
    <w:rsid w:val="00B745D4"/>
    <w:rsid w:val="00B75755"/>
    <w:rsid w:val="00B8048E"/>
    <w:rsid w:val="00B820E6"/>
    <w:rsid w:val="00B8628D"/>
    <w:rsid w:val="00B86AA3"/>
    <w:rsid w:val="00B9133A"/>
    <w:rsid w:val="00B91F08"/>
    <w:rsid w:val="00B9420C"/>
    <w:rsid w:val="00B973BB"/>
    <w:rsid w:val="00BA5053"/>
    <w:rsid w:val="00BA5BAE"/>
    <w:rsid w:val="00BA6FDD"/>
    <w:rsid w:val="00BA7991"/>
    <w:rsid w:val="00BA7A2B"/>
    <w:rsid w:val="00BB0C11"/>
    <w:rsid w:val="00BB17CE"/>
    <w:rsid w:val="00BB5912"/>
    <w:rsid w:val="00BB644A"/>
    <w:rsid w:val="00BB6AA1"/>
    <w:rsid w:val="00BC10A8"/>
    <w:rsid w:val="00BC1977"/>
    <w:rsid w:val="00BC19D4"/>
    <w:rsid w:val="00BC1DC1"/>
    <w:rsid w:val="00BC2A9C"/>
    <w:rsid w:val="00BC2C0D"/>
    <w:rsid w:val="00BC3B25"/>
    <w:rsid w:val="00BC4612"/>
    <w:rsid w:val="00BC4B43"/>
    <w:rsid w:val="00BC5C66"/>
    <w:rsid w:val="00BD1E12"/>
    <w:rsid w:val="00BD224A"/>
    <w:rsid w:val="00BD5CAF"/>
    <w:rsid w:val="00BD5F75"/>
    <w:rsid w:val="00BD737D"/>
    <w:rsid w:val="00BD7392"/>
    <w:rsid w:val="00BE216E"/>
    <w:rsid w:val="00BE3570"/>
    <w:rsid w:val="00BE54B0"/>
    <w:rsid w:val="00BF00C2"/>
    <w:rsid w:val="00BF076B"/>
    <w:rsid w:val="00BF0C1E"/>
    <w:rsid w:val="00BF3742"/>
    <w:rsid w:val="00BF4805"/>
    <w:rsid w:val="00BF6928"/>
    <w:rsid w:val="00C010FD"/>
    <w:rsid w:val="00C01B2F"/>
    <w:rsid w:val="00C05119"/>
    <w:rsid w:val="00C073C6"/>
    <w:rsid w:val="00C106B1"/>
    <w:rsid w:val="00C11A0F"/>
    <w:rsid w:val="00C121BA"/>
    <w:rsid w:val="00C13296"/>
    <w:rsid w:val="00C17FA0"/>
    <w:rsid w:val="00C2005C"/>
    <w:rsid w:val="00C20452"/>
    <w:rsid w:val="00C20BAF"/>
    <w:rsid w:val="00C22E5E"/>
    <w:rsid w:val="00C252C2"/>
    <w:rsid w:val="00C26D31"/>
    <w:rsid w:val="00C27EB0"/>
    <w:rsid w:val="00C27ECD"/>
    <w:rsid w:val="00C30404"/>
    <w:rsid w:val="00C30F82"/>
    <w:rsid w:val="00C311E6"/>
    <w:rsid w:val="00C36C4E"/>
    <w:rsid w:val="00C400ED"/>
    <w:rsid w:val="00C41725"/>
    <w:rsid w:val="00C41A9C"/>
    <w:rsid w:val="00C41DE9"/>
    <w:rsid w:val="00C429CB"/>
    <w:rsid w:val="00C452BC"/>
    <w:rsid w:val="00C46420"/>
    <w:rsid w:val="00C54E2F"/>
    <w:rsid w:val="00C54FC5"/>
    <w:rsid w:val="00C57031"/>
    <w:rsid w:val="00C57F23"/>
    <w:rsid w:val="00C57F5F"/>
    <w:rsid w:val="00C60286"/>
    <w:rsid w:val="00C621FA"/>
    <w:rsid w:val="00C63DA1"/>
    <w:rsid w:val="00C66821"/>
    <w:rsid w:val="00C670EB"/>
    <w:rsid w:val="00C67BF6"/>
    <w:rsid w:val="00C70696"/>
    <w:rsid w:val="00C717D6"/>
    <w:rsid w:val="00C76044"/>
    <w:rsid w:val="00C77FEE"/>
    <w:rsid w:val="00C835AE"/>
    <w:rsid w:val="00C8377C"/>
    <w:rsid w:val="00C83F7C"/>
    <w:rsid w:val="00C85B5F"/>
    <w:rsid w:val="00C86542"/>
    <w:rsid w:val="00C86F92"/>
    <w:rsid w:val="00C904A0"/>
    <w:rsid w:val="00C93E83"/>
    <w:rsid w:val="00C942D0"/>
    <w:rsid w:val="00C977EE"/>
    <w:rsid w:val="00CA3283"/>
    <w:rsid w:val="00CA5787"/>
    <w:rsid w:val="00CA643C"/>
    <w:rsid w:val="00CA7411"/>
    <w:rsid w:val="00CB299E"/>
    <w:rsid w:val="00CB2DB1"/>
    <w:rsid w:val="00CB425B"/>
    <w:rsid w:val="00CB4A81"/>
    <w:rsid w:val="00CB4EBA"/>
    <w:rsid w:val="00CB6821"/>
    <w:rsid w:val="00CC0243"/>
    <w:rsid w:val="00CC215F"/>
    <w:rsid w:val="00CC2C15"/>
    <w:rsid w:val="00CC316E"/>
    <w:rsid w:val="00CC5180"/>
    <w:rsid w:val="00CC5A8D"/>
    <w:rsid w:val="00CC5CD0"/>
    <w:rsid w:val="00CC6B9A"/>
    <w:rsid w:val="00CC783E"/>
    <w:rsid w:val="00CD03B0"/>
    <w:rsid w:val="00CD2EA6"/>
    <w:rsid w:val="00CD603B"/>
    <w:rsid w:val="00CD632C"/>
    <w:rsid w:val="00CD7087"/>
    <w:rsid w:val="00CD7174"/>
    <w:rsid w:val="00CE3E4B"/>
    <w:rsid w:val="00CE435C"/>
    <w:rsid w:val="00CE56DF"/>
    <w:rsid w:val="00CE6196"/>
    <w:rsid w:val="00CF16D4"/>
    <w:rsid w:val="00CF30AB"/>
    <w:rsid w:val="00CF4D74"/>
    <w:rsid w:val="00CF515D"/>
    <w:rsid w:val="00CF683E"/>
    <w:rsid w:val="00CF7BAD"/>
    <w:rsid w:val="00D01A27"/>
    <w:rsid w:val="00D01F2A"/>
    <w:rsid w:val="00D049AC"/>
    <w:rsid w:val="00D04B4A"/>
    <w:rsid w:val="00D055B3"/>
    <w:rsid w:val="00D05936"/>
    <w:rsid w:val="00D059EE"/>
    <w:rsid w:val="00D07415"/>
    <w:rsid w:val="00D100D5"/>
    <w:rsid w:val="00D112AB"/>
    <w:rsid w:val="00D115A8"/>
    <w:rsid w:val="00D1162C"/>
    <w:rsid w:val="00D12D9C"/>
    <w:rsid w:val="00D14CA4"/>
    <w:rsid w:val="00D20916"/>
    <w:rsid w:val="00D210A6"/>
    <w:rsid w:val="00D2239A"/>
    <w:rsid w:val="00D2453C"/>
    <w:rsid w:val="00D245E1"/>
    <w:rsid w:val="00D27787"/>
    <w:rsid w:val="00D30623"/>
    <w:rsid w:val="00D3131D"/>
    <w:rsid w:val="00D347D0"/>
    <w:rsid w:val="00D34DE6"/>
    <w:rsid w:val="00D34FEB"/>
    <w:rsid w:val="00D36575"/>
    <w:rsid w:val="00D40240"/>
    <w:rsid w:val="00D42885"/>
    <w:rsid w:val="00D47997"/>
    <w:rsid w:val="00D47CE4"/>
    <w:rsid w:val="00D52742"/>
    <w:rsid w:val="00D52CAA"/>
    <w:rsid w:val="00D53BD2"/>
    <w:rsid w:val="00D54991"/>
    <w:rsid w:val="00D55EA4"/>
    <w:rsid w:val="00D5724E"/>
    <w:rsid w:val="00D579CA"/>
    <w:rsid w:val="00D607FC"/>
    <w:rsid w:val="00D64EDF"/>
    <w:rsid w:val="00D651BB"/>
    <w:rsid w:val="00D65237"/>
    <w:rsid w:val="00D65907"/>
    <w:rsid w:val="00D66848"/>
    <w:rsid w:val="00D708D0"/>
    <w:rsid w:val="00D70D41"/>
    <w:rsid w:val="00D7134C"/>
    <w:rsid w:val="00D73524"/>
    <w:rsid w:val="00D81219"/>
    <w:rsid w:val="00D85332"/>
    <w:rsid w:val="00D87008"/>
    <w:rsid w:val="00D870C2"/>
    <w:rsid w:val="00D87152"/>
    <w:rsid w:val="00D87538"/>
    <w:rsid w:val="00D91204"/>
    <w:rsid w:val="00D926D3"/>
    <w:rsid w:val="00D9302C"/>
    <w:rsid w:val="00D932D7"/>
    <w:rsid w:val="00D945CE"/>
    <w:rsid w:val="00D94B9A"/>
    <w:rsid w:val="00D95B1F"/>
    <w:rsid w:val="00D95C7D"/>
    <w:rsid w:val="00D975C0"/>
    <w:rsid w:val="00DA1AB6"/>
    <w:rsid w:val="00DA1C43"/>
    <w:rsid w:val="00DA2F04"/>
    <w:rsid w:val="00DA339B"/>
    <w:rsid w:val="00DA399D"/>
    <w:rsid w:val="00DA3CB6"/>
    <w:rsid w:val="00DA42F5"/>
    <w:rsid w:val="00DA4922"/>
    <w:rsid w:val="00DA5D8F"/>
    <w:rsid w:val="00DA6049"/>
    <w:rsid w:val="00DA69F0"/>
    <w:rsid w:val="00DA798B"/>
    <w:rsid w:val="00DB1B61"/>
    <w:rsid w:val="00DB2227"/>
    <w:rsid w:val="00DB2CCC"/>
    <w:rsid w:val="00DB3418"/>
    <w:rsid w:val="00DB3455"/>
    <w:rsid w:val="00DB413D"/>
    <w:rsid w:val="00DB5AD9"/>
    <w:rsid w:val="00DC2A27"/>
    <w:rsid w:val="00DC2EB4"/>
    <w:rsid w:val="00DC428F"/>
    <w:rsid w:val="00DC4FED"/>
    <w:rsid w:val="00DC6386"/>
    <w:rsid w:val="00DC6750"/>
    <w:rsid w:val="00DC6D81"/>
    <w:rsid w:val="00DC7CD8"/>
    <w:rsid w:val="00DC7DDB"/>
    <w:rsid w:val="00DD136D"/>
    <w:rsid w:val="00DD15B4"/>
    <w:rsid w:val="00DD4FBD"/>
    <w:rsid w:val="00DD6174"/>
    <w:rsid w:val="00DD6279"/>
    <w:rsid w:val="00DD6954"/>
    <w:rsid w:val="00DE238F"/>
    <w:rsid w:val="00DE53B2"/>
    <w:rsid w:val="00DE5F8F"/>
    <w:rsid w:val="00DE78BB"/>
    <w:rsid w:val="00DE78FE"/>
    <w:rsid w:val="00DF0F57"/>
    <w:rsid w:val="00DF140E"/>
    <w:rsid w:val="00DF665C"/>
    <w:rsid w:val="00E01287"/>
    <w:rsid w:val="00E02C09"/>
    <w:rsid w:val="00E06359"/>
    <w:rsid w:val="00E107A1"/>
    <w:rsid w:val="00E11E96"/>
    <w:rsid w:val="00E12C9C"/>
    <w:rsid w:val="00E139FC"/>
    <w:rsid w:val="00E153B0"/>
    <w:rsid w:val="00E159D8"/>
    <w:rsid w:val="00E16925"/>
    <w:rsid w:val="00E20AF2"/>
    <w:rsid w:val="00E21AF9"/>
    <w:rsid w:val="00E229F5"/>
    <w:rsid w:val="00E22AAF"/>
    <w:rsid w:val="00E242C6"/>
    <w:rsid w:val="00E24447"/>
    <w:rsid w:val="00E27090"/>
    <w:rsid w:val="00E277E5"/>
    <w:rsid w:val="00E32842"/>
    <w:rsid w:val="00E3653E"/>
    <w:rsid w:val="00E36EDC"/>
    <w:rsid w:val="00E41499"/>
    <w:rsid w:val="00E41644"/>
    <w:rsid w:val="00E441D7"/>
    <w:rsid w:val="00E45D59"/>
    <w:rsid w:val="00E46D31"/>
    <w:rsid w:val="00E50F19"/>
    <w:rsid w:val="00E51114"/>
    <w:rsid w:val="00E6153E"/>
    <w:rsid w:val="00E6168F"/>
    <w:rsid w:val="00E63E66"/>
    <w:rsid w:val="00E651A7"/>
    <w:rsid w:val="00E66A24"/>
    <w:rsid w:val="00E67C45"/>
    <w:rsid w:val="00E71068"/>
    <w:rsid w:val="00E74473"/>
    <w:rsid w:val="00E75A32"/>
    <w:rsid w:val="00E76803"/>
    <w:rsid w:val="00E77ABF"/>
    <w:rsid w:val="00E81148"/>
    <w:rsid w:val="00E81D61"/>
    <w:rsid w:val="00E83FD5"/>
    <w:rsid w:val="00E8452F"/>
    <w:rsid w:val="00E86402"/>
    <w:rsid w:val="00E86FDC"/>
    <w:rsid w:val="00E87749"/>
    <w:rsid w:val="00E87C84"/>
    <w:rsid w:val="00EA0F3B"/>
    <w:rsid w:val="00EA19FD"/>
    <w:rsid w:val="00EA2A84"/>
    <w:rsid w:val="00EA3F98"/>
    <w:rsid w:val="00EA40A1"/>
    <w:rsid w:val="00EA59CE"/>
    <w:rsid w:val="00EA6337"/>
    <w:rsid w:val="00EB0616"/>
    <w:rsid w:val="00EB10DA"/>
    <w:rsid w:val="00EB1581"/>
    <w:rsid w:val="00EB20DB"/>
    <w:rsid w:val="00EB27D0"/>
    <w:rsid w:val="00EB3002"/>
    <w:rsid w:val="00EB3050"/>
    <w:rsid w:val="00EB5A58"/>
    <w:rsid w:val="00EB5D46"/>
    <w:rsid w:val="00EB636F"/>
    <w:rsid w:val="00EB7D04"/>
    <w:rsid w:val="00EB7E96"/>
    <w:rsid w:val="00EC40D0"/>
    <w:rsid w:val="00EC4F4B"/>
    <w:rsid w:val="00EC64B4"/>
    <w:rsid w:val="00ED0BFE"/>
    <w:rsid w:val="00ED1692"/>
    <w:rsid w:val="00ED1D09"/>
    <w:rsid w:val="00ED3372"/>
    <w:rsid w:val="00ED6F90"/>
    <w:rsid w:val="00ED76AB"/>
    <w:rsid w:val="00ED7AAA"/>
    <w:rsid w:val="00ED7ED0"/>
    <w:rsid w:val="00EE0019"/>
    <w:rsid w:val="00EE1ECA"/>
    <w:rsid w:val="00EE38B1"/>
    <w:rsid w:val="00EE45BC"/>
    <w:rsid w:val="00EE63B6"/>
    <w:rsid w:val="00EE6813"/>
    <w:rsid w:val="00EE7DBE"/>
    <w:rsid w:val="00EF281A"/>
    <w:rsid w:val="00EF2D1A"/>
    <w:rsid w:val="00EF6C66"/>
    <w:rsid w:val="00F0143F"/>
    <w:rsid w:val="00F021E3"/>
    <w:rsid w:val="00F058E0"/>
    <w:rsid w:val="00F06661"/>
    <w:rsid w:val="00F10B68"/>
    <w:rsid w:val="00F1326A"/>
    <w:rsid w:val="00F144F0"/>
    <w:rsid w:val="00F2268A"/>
    <w:rsid w:val="00F227CF"/>
    <w:rsid w:val="00F228BB"/>
    <w:rsid w:val="00F2421F"/>
    <w:rsid w:val="00F24AFF"/>
    <w:rsid w:val="00F2788C"/>
    <w:rsid w:val="00F31AAE"/>
    <w:rsid w:val="00F32700"/>
    <w:rsid w:val="00F35BFA"/>
    <w:rsid w:val="00F40979"/>
    <w:rsid w:val="00F416D7"/>
    <w:rsid w:val="00F41922"/>
    <w:rsid w:val="00F41A50"/>
    <w:rsid w:val="00F45E8A"/>
    <w:rsid w:val="00F46288"/>
    <w:rsid w:val="00F47D55"/>
    <w:rsid w:val="00F507A8"/>
    <w:rsid w:val="00F5126C"/>
    <w:rsid w:val="00F51A97"/>
    <w:rsid w:val="00F53D34"/>
    <w:rsid w:val="00F54DC1"/>
    <w:rsid w:val="00F54E57"/>
    <w:rsid w:val="00F5612B"/>
    <w:rsid w:val="00F56472"/>
    <w:rsid w:val="00F56CF0"/>
    <w:rsid w:val="00F60B32"/>
    <w:rsid w:val="00F60EF0"/>
    <w:rsid w:val="00F62AF1"/>
    <w:rsid w:val="00F66363"/>
    <w:rsid w:val="00F72913"/>
    <w:rsid w:val="00F737F9"/>
    <w:rsid w:val="00F74979"/>
    <w:rsid w:val="00F772CC"/>
    <w:rsid w:val="00F80511"/>
    <w:rsid w:val="00F822B7"/>
    <w:rsid w:val="00F82796"/>
    <w:rsid w:val="00F84624"/>
    <w:rsid w:val="00F85203"/>
    <w:rsid w:val="00F857D7"/>
    <w:rsid w:val="00F85DE0"/>
    <w:rsid w:val="00F8740D"/>
    <w:rsid w:val="00F90671"/>
    <w:rsid w:val="00F90D48"/>
    <w:rsid w:val="00F91930"/>
    <w:rsid w:val="00F922EF"/>
    <w:rsid w:val="00F927E2"/>
    <w:rsid w:val="00F929D3"/>
    <w:rsid w:val="00F938FA"/>
    <w:rsid w:val="00F93C31"/>
    <w:rsid w:val="00F946B6"/>
    <w:rsid w:val="00F954E3"/>
    <w:rsid w:val="00F964B0"/>
    <w:rsid w:val="00F966DE"/>
    <w:rsid w:val="00F97C8C"/>
    <w:rsid w:val="00FA0720"/>
    <w:rsid w:val="00FA33E6"/>
    <w:rsid w:val="00FA3AFA"/>
    <w:rsid w:val="00FA54CE"/>
    <w:rsid w:val="00FA6A70"/>
    <w:rsid w:val="00FB4FC2"/>
    <w:rsid w:val="00FB5116"/>
    <w:rsid w:val="00FB5276"/>
    <w:rsid w:val="00FB52FD"/>
    <w:rsid w:val="00FB5DF1"/>
    <w:rsid w:val="00FB6B9D"/>
    <w:rsid w:val="00FC0110"/>
    <w:rsid w:val="00FC1CC1"/>
    <w:rsid w:val="00FC27BE"/>
    <w:rsid w:val="00FC2FDD"/>
    <w:rsid w:val="00FC320C"/>
    <w:rsid w:val="00FC4527"/>
    <w:rsid w:val="00FC5C6D"/>
    <w:rsid w:val="00FD1F9D"/>
    <w:rsid w:val="00FD7236"/>
    <w:rsid w:val="00FE1231"/>
    <w:rsid w:val="00FE307B"/>
    <w:rsid w:val="00FE581F"/>
    <w:rsid w:val="00FE608F"/>
    <w:rsid w:val="00FE715F"/>
    <w:rsid w:val="00FE74AE"/>
    <w:rsid w:val="00FE79B0"/>
    <w:rsid w:val="00FF0AC8"/>
    <w:rsid w:val="00FF12E0"/>
    <w:rsid w:val="00FF2E75"/>
    <w:rsid w:val="00FF718F"/>
    <w:rsid w:val="04C23EAE"/>
    <w:rsid w:val="05EEFBA3"/>
    <w:rsid w:val="14E3DF24"/>
    <w:rsid w:val="1D17A1BE"/>
    <w:rsid w:val="24173B80"/>
    <w:rsid w:val="31CA2D1A"/>
    <w:rsid w:val="6A10E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FF1EC"/>
  <w15:docId w15:val="{BC256A68-DF88-4392-99A9-C6DF0EC8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CB6"/>
    <w:pPr>
      <w:keepLines/>
      <w:spacing w:before="100" w:beforeAutospacing="1" w:after="100" w:afterAutospacing="1" w:line="240" w:lineRule="auto"/>
    </w:pPr>
    <w:rPr>
      <w:rFonts w:ascii="Arial" w:eastAsia="Times New Roman" w:hAnsi="Arial" w:cs="Times New Roman"/>
      <w:lang w:val="en-AU" w:eastAsia="en-AU"/>
    </w:rPr>
  </w:style>
  <w:style w:type="paragraph" w:styleId="Heading2">
    <w:name w:val="heading 2"/>
    <w:basedOn w:val="Normal"/>
    <w:next w:val="Normal"/>
    <w:link w:val="Heading2Char"/>
    <w:qFormat/>
    <w:rsid w:val="00DA3CB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A3CB6"/>
    <w:rPr>
      <w:rFonts w:ascii="Arial" w:eastAsia="Times New Roman" w:hAnsi="Arial" w:cs="Arial"/>
      <w:b/>
      <w:bCs/>
      <w:i/>
      <w:iCs/>
      <w:sz w:val="28"/>
      <w:szCs w:val="28"/>
      <w:lang w:val="en-AU" w:eastAsia="en-AU"/>
    </w:rPr>
  </w:style>
  <w:style w:type="paragraph" w:customStyle="1" w:styleId="NormalItalics">
    <w:name w:val="NormalItalics"/>
    <w:basedOn w:val="Normal"/>
    <w:rsid w:val="00DA3CB6"/>
    <w:pPr>
      <w:keepLines w:val="0"/>
    </w:pPr>
    <w:rPr>
      <w:i/>
      <w:iCs/>
    </w:rPr>
  </w:style>
  <w:style w:type="table" w:styleId="TableGrid">
    <w:name w:val="Table Grid"/>
    <w:basedOn w:val="TableNormal"/>
    <w:uiPriority w:val="59"/>
    <w:rsid w:val="00DA3C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A3CB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3C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3CB6"/>
    <w:rPr>
      <w:rFonts w:ascii="Arial" w:eastAsia="Times New Roman" w:hAnsi="Arial" w:cs="Times New Roman"/>
      <w:sz w:val="20"/>
      <w:szCs w:val="20"/>
      <w:lang w:val="en-AU" w:eastAsia="en-AU"/>
    </w:rPr>
  </w:style>
  <w:style w:type="paragraph" w:styleId="ListParagraph">
    <w:name w:val="List Paragraph"/>
    <w:basedOn w:val="Normal"/>
    <w:uiPriority w:val="34"/>
    <w:qFormat/>
    <w:rsid w:val="00DA3CB6"/>
    <w:pPr>
      <w:keepLines w:val="0"/>
      <w:spacing w:before="0" w:beforeAutospacing="0" w:after="200" w:afterAutospacing="0" w:line="276" w:lineRule="auto"/>
      <w:ind w:left="720"/>
      <w:contextualSpacing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DA3CB6"/>
    <w:pPr>
      <w:keepLines w:val="0"/>
      <w:widowControl w:val="0"/>
      <w:spacing w:before="0" w:beforeAutospacing="0" w:after="0" w:afterAutospacing="0"/>
      <w:jc w:val="center"/>
    </w:pPr>
    <w:rPr>
      <w:rFonts w:ascii="Times New Roman" w:hAnsi="Times New Roman"/>
      <w:b/>
      <w:snapToGrid w:val="0"/>
      <w:sz w:val="17"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rsid w:val="00DA3CB6"/>
    <w:rPr>
      <w:rFonts w:ascii="Times New Roman" w:eastAsia="Times New Roman" w:hAnsi="Times New Roman" w:cs="Times New Roman"/>
      <w:b/>
      <w:snapToGrid w:val="0"/>
      <w:sz w:val="17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CB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CB6"/>
    <w:rPr>
      <w:rFonts w:ascii="Tahoma" w:eastAsia="Times New Roman" w:hAnsi="Tahoma" w:cs="Tahoma"/>
      <w:sz w:val="16"/>
      <w:szCs w:val="16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230C5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30C59"/>
    <w:rPr>
      <w:rFonts w:ascii="Arial" w:eastAsia="Times New Roman" w:hAnsi="Arial" w:cs="Times New Roman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230C5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30C59"/>
    <w:rPr>
      <w:rFonts w:ascii="Arial" w:eastAsia="Times New Roman" w:hAnsi="Arial" w:cs="Times New Roman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C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C59"/>
    <w:rPr>
      <w:rFonts w:ascii="Arial" w:eastAsia="Times New Roman" w:hAnsi="Arial" w:cs="Times New Roman"/>
      <w:b/>
      <w:bCs/>
      <w:sz w:val="20"/>
      <w:szCs w:val="20"/>
      <w:lang w:val="en-AU"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5203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5203"/>
    <w:rPr>
      <w:rFonts w:ascii="Arial" w:eastAsia="Times New Roman" w:hAnsi="Arial" w:cs="Times New Roman"/>
      <w:sz w:val="20"/>
      <w:szCs w:val="20"/>
      <w:lang w:val="en-AU"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F8520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85203"/>
    <w:rPr>
      <w:color w:val="0000FF" w:themeColor="hyperlink"/>
      <w:u w:val="single"/>
    </w:rPr>
  </w:style>
  <w:style w:type="paragraph" w:customStyle="1" w:styleId="Default">
    <w:name w:val="Default"/>
    <w:rsid w:val="001B28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8F7FEE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3436F1"/>
    <w:pPr>
      <w:keepLines w:val="0"/>
    </w:pPr>
    <w:rPr>
      <w:rFonts w:ascii="Times New Roman" w:eastAsiaTheme="minorHAnsi" w:hAnsi="Times New Roman"/>
      <w:sz w:val="24"/>
      <w:szCs w:val="24"/>
      <w:lang w:val="en-GB" w:eastAsia="en-GB"/>
    </w:rPr>
  </w:style>
  <w:style w:type="character" w:customStyle="1" w:styleId="Mention2">
    <w:name w:val="Mention2"/>
    <w:basedOn w:val="DefaultParagraphFont"/>
    <w:uiPriority w:val="99"/>
    <w:semiHidden/>
    <w:unhideWhenUsed/>
    <w:rsid w:val="00C86F92"/>
    <w:rPr>
      <w:color w:val="2B579A"/>
      <w:shd w:val="clear" w:color="auto" w:fill="E6E6E6"/>
    </w:rPr>
  </w:style>
  <w:style w:type="paragraph" w:customStyle="1" w:styleId="xxxmsonormal">
    <w:name w:val="x_x_x_msonormal"/>
    <w:basedOn w:val="Normal"/>
    <w:rsid w:val="005013FC"/>
    <w:pPr>
      <w:keepLines w:val="0"/>
      <w:spacing w:before="0" w:beforeAutospacing="0" w:after="0" w:afterAutospacing="0"/>
    </w:pPr>
    <w:rPr>
      <w:rFonts w:ascii="Times New Roman" w:eastAsiaTheme="minorHAnsi" w:hAnsi="Times New Roman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3B5C4E"/>
    <w:rPr>
      <w:i/>
      <w:iCs/>
    </w:rPr>
  </w:style>
  <w:style w:type="character" w:customStyle="1" w:styleId="normaltextrun">
    <w:name w:val="normaltextrun"/>
    <w:basedOn w:val="DefaultParagraphFont"/>
    <w:rsid w:val="00176E9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6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90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9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8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52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43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855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68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976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76258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610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106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23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9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562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1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4742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146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918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3221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3372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5252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3327">
          <w:marLeft w:val="171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171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448">
          <w:marLeft w:val="31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7275">
          <w:marLeft w:val="31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7715">
          <w:marLeft w:val="171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36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46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67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70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6323">
          <w:marLeft w:val="2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04919">
          <w:marLeft w:val="2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3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79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2037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56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565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333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6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3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FE3A0DFBDDF4B86E3D79E9FDBE029" ma:contentTypeVersion="13" ma:contentTypeDescription="Create a new document." ma:contentTypeScope="" ma:versionID="e01f3a2197bee12af9cc8d0ca7c28513">
  <xsd:schema xmlns:xsd="http://www.w3.org/2001/XMLSchema" xmlns:xs="http://www.w3.org/2001/XMLSchema" xmlns:p="http://schemas.microsoft.com/office/2006/metadata/properties" xmlns:ns3="058e8728-260f-4dfb-8787-4ebe17203182" xmlns:ns4="63f065d3-f48e-4d2d-a5d5-b4becdeb24fc" targetNamespace="http://schemas.microsoft.com/office/2006/metadata/properties" ma:root="true" ma:fieldsID="1ca6a30e8f752d910561b5db764b755e" ns3:_="" ns4:_="">
    <xsd:import namespace="058e8728-260f-4dfb-8787-4ebe17203182"/>
    <xsd:import namespace="63f065d3-f48e-4d2d-a5d5-b4becdeb24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e8728-260f-4dfb-8787-4ebe17203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065d3-f48e-4d2d-a5d5-b4becdeb2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isl xmlns:xsi="http://www.w3.org/2001/XMLSchema-instance" xmlns:xsd="http://www.w3.org/2001/XMLSchema" xmlns="http://www.boldonjames.com/2008/01/sie/internal/label" sislVersion="0" policy="973096ae-7329-4b3b-9368-47aeba6959e1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3f065d3-f48e-4d2d-a5d5-b4becdeb24fc">
      <UserInfo>
        <DisplayName>Mills(ESO), Jenny</DisplayName>
        <AccountId>64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F9253-77DA-482A-AAF8-96DB32626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8e8728-260f-4dfb-8787-4ebe17203182"/>
    <ds:schemaRef ds:uri="63f065d3-f48e-4d2d-a5d5-b4becdeb2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44AB94-F808-450F-A666-A3901DF1C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10705E-61AE-4977-A00C-748E67212320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583813B8-DFE7-4B47-8C90-8925BAD1D94D}">
  <ds:schemaRefs>
    <ds:schemaRef ds:uri="http://schemas.microsoft.com/office/2006/metadata/properties"/>
    <ds:schemaRef ds:uri="http://schemas.microsoft.com/office/infopath/2007/PartnerControls"/>
    <ds:schemaRef ds:uri="63f065d3-f48e-4d2d-a5d5-b4becdeb24fc"/>
  </ds:schemaRefs>
</ds:datastoreItem>
</file>

<file path=customXml/itemProps5.xml><?xml version="1.0" encoding="utf-8"?>
<ds:datastoreItem xmlns:ds="http://schemas.openxmlformats.org/officeDocument/2006/customXml" ds:itemID="{5AE6C977-57B3-4CD7-86D3-2F7403EED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Grid</Company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HTK</dc:creator>
  <cp:keywords/>
  <dc:description/>
  <cp:lastModifiedBy>Rivalland (ESO), Jessica</cp:lastModifiedBy>
  <cp:revision>5</cp:revision>
  <cp:lastPrinted>2019-10-09T06:52:00Z</cp:lastPrinted>
  <dcterms:created xsi:type="dcterms:W3CDTF">2019-11-18T09:41:00Z</dcterms:created>
  <dcterms:modified xsi:type="dcterms:W3CDTF">2019-11-18T09:42:00Z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0x010100719FE3A0DFBDDF4B86E3D79E9FDBE029</vt:lpwstr>
  </property>
  <property fmtid="{D5CDD505-2E9C-101B-9397-08002B2CF9AE}" pid="4" name="Folksonomy">
    <vt:lpwstr>272;#Monitoring meetings|a3bfd2ac-5353-4c25-a9af-f7762a140be0</vt:lpwstr>
  </property>
  <property fmtid="{D5CDD505-2E9C-101B-9397-08002B2CF9AE}" pid="5" name="docIndexRef">
    <vt:lpwstr>4f6e92ee-902c-4af7-a22c-4e5b93cb821a</vt:lpwstr>
  </property>
  <property fmtid="{D5CDD505-2E9C-101B-9397-08002B2CF9AE}" pid="6" name="bjSaver">
    <vt:lpwstr>oyBiHhtHvSxWC+wnmH6A9QDg2Tucs8X4</vt:lpwstr>
  </property>
  <property fmtid="{D5CDD505-2E9C-101B-9397-08002B2CF9AE}" pid="7" name="bjDocumentSecurityLabel">
    <vt:lpwstr>This item has no classification</vt:lpwstr>
  </property>
</Properties>
</file>