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Default="00E62A86" w:rsidP="00E62A86">
      <w:pPr>
        <w:pStyle w:val="Heading1"/>
        <w:numPr>
          <w:ilvl w:val="0"/>
          <w:numId w:val="0"/>
        </w:numPr>
      </w:pPr>
      <w:bookmarkStart w:id="0" w:name="_Toc288131448"/>
      <w:r>
        <w:t>CUSC Workgroup Consultation Response Proforma</w:t>
      </w:r>
      <w:bookmarkEnd w:id="0"/>
    </w:p>
    <w:p w:rsidR="00E62A86" w:rsidRDefault="00E62A86" w:rsidP="00E62A86">
      <w:pPr>
        <w:rPr>
          <w:rFonts w:cs="Arial"/>
          <w:b/>
          <w:szCs w:val="22"/>
        </w:rPr>
      </w:pPr>
    </w:p>
    <w:p w:rsidR="00FF6D9E" w:rsidRDefault="00976E28" w:rsidP="00487CDE">
      <w:pPr>
        <w:rPr>
          <w:rFonts w:cs="Arial"/>
          <w:b/>
          <w:sz w:val="24"/>
        </w:rPr>
      </w:pPr>
      <w:r w:rsidRPr="00976E28">
        <w:rPr>
          <w:rFonts w:cs="Arial"/>
          <w:b/>
          <w:sz w:val="24"/>
        </w:rPr>
        <w:t>CMP2</w:t>
      </w:r>
      <w:r w:rsidR="00487CDE">
        <w:rPr>
          <w:rFonts w:cs="Arial"/>
          <w:b/>
          <w:sz w:val="24"/>
        </w:rPr>
        <w:t>88</w:t>
      </w:r>
      <w:r>
        <w:rPr>
          <w:rFonts w:cs="Arial"/>
          <w:b/>
          <w:sz w:val="24"/>
        </w:rPr>
        <w:t xml:space="preserve"> </w:t>
      </w:r>
      <w:r w:rsidR="002F5AE0" w:rsidRPr="002F5AE0">
        <w:rPr>
          <w:rFonts w:cs="Arial"/>
          <w:b/>
          <w:sz w:val="24"/>
        </w:rPr>
        <w:t>‘</w:t>
      </w:r>
      <w:r w:rsidR="00487CDE" w:rsidRPr="00487CDE">
        <w:rPr>
          <w:rFonts w:cs="Arial"/>
          <w:b/>
          <w:sz w:val="24"/>
        </w:rPr>
        <w:t>Explicit charging arrangements for</w:t>
      </w:r>
      <w:r w:rsidR="00487CDE">
        <w:rPr>
          <w:rFonts w:cs="Arial"/>
          <w:b/>
          <w:sz w:val="24"/>
        </w:rPr>
        <w:t xml:space="preserve"> </w:t>
      </w:r>
      <w:r w:rsidR="00487CDE" w:rsidRPr="00487CDE">
        <w:rPr>
          <w:rFonts w:cs="Arial"/>
          <w:b/>
          <w:sz w:val="24"/>
        </w:rPr>
        <w:t>customer delays and backfeeds</w:t>
      </w:r>
      <w:r w:rsidR="002F5AE0" w:rsidRPr="002F5AE0">
        <w:rPr>
          <w:rFonts w:cs="Arial"/>
          <w:b/>
          <w:sz w:val="24"/>
        </w:rPr>
        <w:t>’</w:t>
      </w:r>
    </w:p>
    <w:p w:rsidR="00487CDE" w:rsidRDefault="00487CDE" w:rsidP="00487CDE">
      <w:pPr>
        <w:rPr>
          <w:rFonts w:cs="Arial"/>
          <w:b/>
          <w:sz w:val="24"/>
        </w:rPr>
      </w:pPr>
    </w:p>
    <w:p w:rsidR="00487CDE" w:rsidRDefault="00487CDE" w:rsidP="00487CDE">
      <w:pPr>
        <w:rPr>
          <w:rFonts w:cs="Arial"/>
          <w:b/>
          <w:sz w:val="24"/>
        </w:rPr>
      </w:pPr>
      <w:r>
        <w:rPr>
          <w:rFonts w:cs="Arial"/>
          <w:b/>
          <w:sz w:val="24"/>
        </w:rPr>
        <w:t xml:space="preserve">and </w:t>
      </w:r>
    </w:p>
    <w:p w:rsidR="00487CDE" w:rsidRDefault="00487CDE" w:rsidP="00487CDE">
      <w:pPr>
        <w:rPr>
          <w:rFonts w:cs="Arial"/>
          <w:b/>
          <w:sz w:val="24"/>
        </w:rPr>
      </w:pPr>
    </w:p>
    <w:p w:rsidR="00487CDE" w:rsidRDefault="00487CDE" w:rsidP="00487CDE">
      <w:pPr>
        <w:rPr>
          <w:rFonts w:cs="Arial"/>
          <w:b/>
          <w:sz w:val="24"/>
        </w:rPr>
      </w:pPr>
      <w:r>
        <w:rPr>
          <w:rFonts w:cs="Arial"/>
          <w:b/>
          <w:sz w:val="24"/>
        </w:rPr>
        <w:t>CMP289 ‘</w:t>
      </w:r>
      <w:r w:rsidRPr="00487CDE">
        <w:rPr>
          <w:rFonts w:cs="Arial"/>
          <w:b/>
          <w:sz w:val="24"/>
        </w:rPr>
        <w:t xml:space="preserve">Consequential change to support the introduction of explicit </w:t>
      </w:r>
      <w:r>
        <w:rPr>
          <w:rFonts w:cs="Arial"/>
          <w:b/>
          <w:sz w:val="24"/>
        </w:rPr>
        <w:t>C</w:t>
      </w:r>
      <w:r w:rsidRPr="00487CDE">
        <w:rPr>
          <w:rFonts w:cs="Arial"/>
          <w:b/>
          <w:sz w:val="24"/>
        </w:rPr>
        <w:t>harging arrangements for customer delays and backfeeds via CMP288</w:t>
      </w:r>
      <w:r>
        <w:rPr>
          <w:rFonts w:cs="Arial"/>
          <w:b/>
          <w:sz w:val="24"/>
        </w:rPr>
        <w:t>’</w:t>
      </w:r>
      <w:r w:rsidR="004D2939">
        <w:rPr>
          <w:rFonts w:cs="Arial"/>
          <w:b/>
          <w:sz w:val="24"/>
        </w:rPr>
        <w:t xml:space="preserve"> </w:t>
      </w:r>
      <w:bookmarkStart w:id="1" w:name="_GoBack"/>
      <w:bookmarkEnd w:id="1"/>
    </w:p>
    <w:p w:rsidR="00976E28" w:rsidRPr="003F639A" w:rsidRDefault="00976E28"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487CDE">
        <w:rPr>
          <w:rFonts w:cs="Arial"/>
          <w:b/>
          <w:spacing w:val="-3"/>
          <w:szCs w:val="22"/>
        </w:rPr>
        <w:t>31</w:t>
      </w:r>
      <w:r w:rsidR="002F5AE0">
        <w:rPr>
          <w:rFonts w:cs="Arial"/>
          <w:b/>
          <w:spacing w:val="-3"/>
          <w:szCs w:val="22"/>
        </w:rPr>
        <w:t xml:space="preserve"> </w:t>
      </w:r>
      <w:r w:rsidR="00487CDE">
        <w:rPr>
          <w:rFonts w:cs="Arial"/>
          <w:b/>
          <w:spacing w:val="-3"/>
          <w:szCs w:val="22"/>
        </w:rPr>
        <w:t xml:space="preserve">January </w:t>
      </w:r>
      <w:r w:rsidR="00413FDD">
        <w:rPr>
          <w:rFonts w:cs="Arial"/>
          <w:b/>
          <w:spacing w:val="-3"/>
          <w:szCs w:val="22"/>
        </w:rPr>
        <w:t>201</w:t>
      </w:r>
      <w:r w:rsidR="00487CDE">
        <w:rPr>
          <w:rFonts w:cs="Arial"/>
          <w:b/>
          <w:spacing w:val="-3"/>
          <w:szCs w:val="22"/>
        </w:rPr>
        <w:t>9</w:t>
      </w:r>
      <w:r w:rsidRPr="00694354">
        <w:rPr>
          <w:rFonts w:cs="Arial"/>
          <w:spacing w:val="-3"/>
          <w:szCs w:val="22"/>
        </w:rPr>
        <w:t xml:space="preserve"> to </w:t>
      </w:r>
      <w:hyperlink r:id="rId8"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2F5AE0">
        <w:rPr>
          <w:rFonts w:cs="Arial"/>
          <w:szCs w:val="22"/>
        </w:rPr>
        <w:t>Shazia Akhtar</w:t>
      </w:r>
      <w:r w:rsidR="001B1A2F">
        <w:rPr>
          <w:rFonts w:cs="Arial"/>
          <w:szCs w:val="22"/>
        </w:rPr>
        <w:t xml:space="preserve"> </w:t>
      </w:r>
      <w:r>
        <w:rPr>
          <w:rFonts w:cs="Arial"/>
          <w:szCs w:val="22"/>
        </w:rPr>
        <w:t xml:space="preserve">at </w:t>
      </w:r>
      <w:r w:rsidR="002F5AE0" w:rsidRPr="002F5AE0">
        <w:rPr>
          <w:rStyle w:val="Hyperlink"/>
        </w:rPr>
        <w:t>Shazia.akhtar2</w:t>
      </w:r>
      <w:hyperlink r:id="rId9" w:history="1">
        <w:r w:rsidR="002F5AE0" w:rsidRPr="0011409D">
          <w:rPr>
            <w:rStyle w:val="Hyperlink"/>
            <w:rFonts w:cs="Arial"/>
            <w:szCs w:val="22"/>
          </w:rPr>
          <w:t>@nationalgrid.com</w:t>
        </w:r>
      </w:hyperlink>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1"/>
        <w:gridCol w:w="6699"/>
      </w:tblGrid>
      <w:tr w:rsidR="00E62A86" w:rsidRPr="00170E5E" w:rsidTr="00487CDE">
        <w:tc>
          <w:tcPr>
            <w:tcW w:w="3261" w:type="dxa"/>
          </w:tcPr>
          <w:p w:rsidR="00E62A86" w:rsidRPr="00651F79" w:rsidRDefault="00E62A86" w:rsidP="00E62A86">
            <w:pPr>
              <w:pStyle w:val="BodyText"/>
              <w:rPr>
                <w:rFonts w:cs="Arial"/>
                <w:b/>
                <w:szCs w:val="22"/>
              </w:rPr>
            </w:pPr>
            <w:r w:rsidRPr="00651F79">
              <w:rPr>
                <w:rFonts w:cs="Arial"/>
                <w:b/>
                <w:szCs w:val="22"/>
              </w:rPr>
              <w:t>Respondent:</w:t>
            </w:r>
          </w:p>
        </w:tc>
        <w:tc>
          <w:tcPr>
            <w:tcW w:w="6699"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487CDE">
        <w:trPr>
          <w:trHeight w:val="317"/>
        </w:trPr>
        <w:tc>
          <w:tcPr>
            <w:tcW w:w="3261" w:type="dxa"/>
          </w:tcPr>
          <w:p w:rsidR="00E62A86" w:rsidRPr="00651F79" w:rsidRDefault="00E62A86" w:rsidP="00E62A86">
            <w:pPr>
              <w:pStyle w:val="BodyText"/>
              <w:rPr>
                <w:rFonts w:cs="Arial"/>
                <w:b/>
                <w:szCs w:val="22"/>
              </w:rPr>
            </w:pPr>
            <w:r w:rsidRPr="00651F79">
              <w:rPr>
                <w:rFonts w:cs="Arial"/>
                <w:b/>
                <w:szCs w:val="22"/>
              </w:rPr>
              <w:t>Company Name:</w:t>
            </w:r>
          </w:p>
        </w:tc>
        <w:tc>
          <w:tcPr>
            <w:tcW w:w="6699"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487CDE" w:rsidRPr="00170E5E" w:rsidTr="00487CDE">
        <w:tc>
          <w:tcPr>
            <w:tcW w:w="3261" w:type="dxa"/>
          </w:tcPr>
          <w:p w:rsidR="00487CDE" w:rsidRPr="00E9750D" w:rsidRDefault="00487CDE" w:rsidP="00487CDE">
            <w:pPr>
              <w:pStyle w:val="BodyText"/>
            </w:pPr>
            <w:r w:rsidRPr="00E9750D">
              <w:t>Please express your views regarding the Workgroup Consultation, including rationale.</w:t>
            </w:r>
          </w:p>
          <w:p w:rsidR="00487CDE" w:rsidRPr="00E9750D" w:rsidRDefault="00487CDE" w:rsidP="00487CDE">
            <w:pPr>
              <w:pStyle w:val="BodyText"/>
            </w:pPr>
            <w:r w:rsidRPr="00E9750D">
              <w:t>(Please include any issues, suggestions or queries)</w:t>
            </w:r>
          </w:p>
          <w:p w:rsidR="00487CDE" w:rsidRPr="00E9750D" w:rsidRDefault="00487CDE" w:rsidP="00487CDE">
            <w:pPr>
              <w:pStyle w:val="BodyText"/>
            </w:pPr>
          </w:p>
        </w:tc>
        <w:tc>
          <w:tcPr>
            <w:tcW w:w="6699" w:type="dxa"/>
          </w:tcPr>
          <w:p w:rsidR="00487CDE" w:rsidRPr="00487CDE" w:rsidRDefault="00487CDE" w:rsidP="00487CDE">
            <w:pPr>
              <w:pStyle w:val="BodyText"/>
              <w:rPr>
                <w:b/>
              </w:rPr>
            </w:pPr>
            <w:r w:rsidRPr="00487CDE">
              <w:rPr>
                <w:b/>
              </w:rPr>
              <w:t>For reference, the Applicable CUSC Objectives for the Use of System Charging Methodology are:</w:t>
            </w:r>
          </w:p>
          <w:p w:rsidR="00487CDE" w:rsidRPr="00487CDE" w:rsidRDefault="00487CDE" w:rsidP="00487CDE">
            <w:pPr>
              <w:pStyle w:val="BodyText"/>
            </w:pPr>
            <w:r w:rsidRPr="00487CDE">
              <w:t xml:space="preserve">(a) That compliance with the use of system charging methodology facilitates effective competition in the generation and supply of electricity and (so far as is consistent therewith) facilitates competition in the sale, distribution and purchase of electricity;  </w:t>
            </w:r>
          </w:p>
          <w:p w:rsidR="00487CDE" w:rsidRPr="00487CDE" w:rsidRDefault="00487CDE" w:rsidP="00487CDE">
            <w:pPr>
              <w:pStyle w:val="BodyText"/>
            </w:pPr>
            <w:r w:rsidRPr="00487CDE">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487CDE" w:rsidRPr="00487CDE" w:rsidRDefault="00487CDE" w:rsidP="00487CDE">
            <w:pPr>
              <w:pStyle w:val="BodyText"/>
            </w:pPr>
            <w:r w:rsidRPr="00487CDE">
              <w:t>(c) That, so far as is consistent with sub-paragraphs (a) and (b), the use of system charging methodology, as far as is reasonably practicable, properly takes account of the developments in transmission licensees’ transmission</w:t>
            </w:r>
            <w:r w:rsidRPr="002B4FA7">
              <w:rPr>
                <w:rFonts w:cs="Arial"/>
                <w:i/>
                <w:szCs w:val="22"/>
              </w:rPr>
              <w:t xml:space="preserve"> </w:t>
            </w:r>
            <w:r w:rsidRPr="00487CDE">
              <w:t>businesses;</w:t>
            </w:r>
          </w:p>
          <w:p w:rsidR="00487CDE" w:rsidRPr="00487CDE" w:rsidRDefault="00487CDE" w:rsidP="00487CDE">
            <w:pPr>
              <w:pStyle w:val="BodyText"/>
            </w:pPr>
            <w:r w:rsidRPr="00487CDE">
              <w:t xml:space="preserve">(d) Compliance with the Electricity Regulation and any relevant </w:t>
            </w:r>
            <w:r w:rsidRPr="00487CDE">
              <w:lastRenderedPageBreak/>
              <w:t>legally binding decision of the European Commission and/or the Agency. These are defined within the National Grid Electricity Transmission Plc Licence under Standard Condition C10, paragraph 1*; and</w:t>
            </w:r>
          </w:p>
          <w:p w:rsidR="00487CDE" w:rsidRDefault="00487CDE" w:rsidP="00487CDE">
            <w:pPr>
              <w:pStyle w:val="BodyText"/>
              <w:tabs>
                <w:tab w:val="left" w:pos="676"/>
              </w:tabs>
              <w:ind w:left="330" w:hanging="330"/>
            </w:pPr>
            <w:r w:rsidRPr="00487CDE">
              <w:t>(e) Promoting efficiency in the implementation and administration of the CUSC arrangements.</w:t>
            </w:r>
          </w:p>
          <w:p w:rsidR="00487CDE" w:rsidRPr="00487CDE" w:rsidRDefault="00487CDE" w:rsidP="00487CDE">
            <w:pPr>
              <w:pStyle w:val="BodyText"/>
              <w:tabs>
                <w:tab w:val="left" w:pos="676"/>
              </w:tabs>
              <w:ind w:left="34" w:hanging="34"/>
            </w:pPr>
            <w:r w:rsidRPr="00487CDE">
              <w:t>*Objective (d) refers specifically to European Regulation 2009/714/EC. Reference to the Agency is to the Agency for the Cooperation of Energy Regulators (ACER).</w:t>
            </w:r>
          </w:p>
          <w:p w:rsidR="00487CDE" w:rsidRDefault="00487CDE" w:rsidP="00487CDE">
            <w:pPr>
              <w:pStyle w:val="BodyText"/>
              <w:tabs>
                <w:tab w:val="left" w:pos="676"/>
              </w:tabs>
              <w:ind w:left="34" w:hanging="34"/>
              <w:rPr>
                <w:rFonts w:cs="Arial"/>
                <w:i/>
                <w:szCs w:val="22"/>
              </w:rPr>
            </w:pPr>
          </w:p>
          <w:p w:rsidR="00487CDE" w:rsidRDefault="00487CDE" w:rsidP="00487CDE">
            <w:pPr>
              <w:pStyle w:val="Heading2"/>
              <w:numPr>
                <w:ilvl w:val="0"/>
                <w:numId w:val="0"/>
              </w:numPr>
              <w:spacing w:after="0"/>
              <w:rPr>
                <w:rFonts w:cs="Times New Roman"/>
                <w:b/>
                <w:bCs w:val="0"/>
                <w:iCs w:val="0"/>
                <w:szCs w:val="24"/>
              </w:rPr>
            </w:pPr>
            <w:r w:rsidRPr="00487CDE">
              <w:rPr>
                <w:rFonts w:cs="Times New Roman"/>
                <w:b/>
                <w:bCs w:val="0"/>
                <w:iCs w:val="0"/>
                <w:szCs w:val="24"/>
              </w:rPr>
              <w:t>T</w:t>
            </w:r>
            <w:r w:rsidRPr="00487CDE">
              <w:rPr>
                <w:rFonts w:cs="Times New Roman"/>
                <w:b/>
                <w:bCs w:val="0"/>
                <w:iCs w:val="0"/>
                <w:szCs w:val="24"/>
              </w:rPr>
              <w:t xml:space="preserve">he </w:t>
            </w:r>
            <w:r w:rsidRPr="00487CDE">
              <w:rPr>
                <w:rFonts w:cs="Times New Roman"/>
                <w:b/>
                <w:bCs w:val="0"/>
                <w:iCs w:val="0"/>
                <w:szCs w:val="24"/>
              </w:rPr>
              <w:t>Applicable</w:t>
            </w:r>
            <w:r w:rsidRPr="00487CDE">
              <w:rPr>
                <w:rFonts w:cs="Times New Roman"/>
                <w:b/>
                <w:bCs w:val="0"/>
                <w:iCs w:val="0"/>
                <w:szCs w:val="24"/>
              </w:rPr>
              <w:t xml:space="preserve"> Standard CUSC objectives are: </w:t>
            </w:r>
          </w:p>
          <w:p w:rsidR="00487CDE" w:rsidRPr="00487CDE" w:rsidRDefault="00487CDE" w:rsidP="00487CDE"/>
          <w:p w:rsidR="00487CDE" w:rsidRPr="00FF6D9E" w:rsidRDefault="00487CDE" w:rsidP="00487CDE">
            <w:pPr>
              <w:pStyle w:val="BodyText"/>
            </w:pPr>
            <w:r w:rsidRPr="00FF6D9E">
              <w:t xml:space="preserve"> </w:t>
            </w:r>
            <w:r>
              <w:t xml:space="preserve">(a) </w:t>
            </w:r>
            <w:r w:rsidRPr="00E9750D">
              <w:t>The efficient discharge by the Licensee of the obligations imposed on it by the Act and the Transmission Licence;</w:t>
            </w:r>
          </w:p>
          <w:p w:rsidR="00487CDE" w:rsidRDefault="00487CDE" w:rsidP="00487CDE">
            <w:pPr>
              <w:pStyle w:val="BodyText"/>
            </w:pPr>
            <w:r>
              <w:t xml:space="preserve">(b) </w:t>
            </w:r>
            <w:r w:rsidRPr="00E9750D">
              <w:t xml:space="preserve">Facilitating effective competition in the generation and supply of electricity, and (so far as consistent therewith) facilitating such competition in the sale, distribution and purchase of electricity; </w:t>
            </w:r>
          </w:p>
          <w:p w:rsidR="00487CDE" w:rsidRDefault="00487CDE" w:rsidP="00487CDE">
            <w:pPr>
              <w:pStyle w:val="BodyText"/>
            </w:pPr>
            <w:r>
              <w:t xml:space="preserve">(c) </w:t>
            </w:r>
            <w:r w:rsidRPr="00E9750D">
              <w:t xml:space="preserve">Compliance with the Electricity Regulation and any relevant legally binding decision of the European Commission and/or the Agency *; and </w:t>
            </w:r>
          </w:p>
          <w:p w:rsidR="00487CDE" w:rsidRDefault="00487CDE" w:rsidP="00487CDE">
            <w:pPr>
              <w:pStyle w:val="BodyText"/>
            </w:pPr>
            <w:r w:rsidRPr="00E9750D">
              <w:t xml:space="preserve">(d) Promoting efficiency in the implementation and administration of the CUSC arrangements. </w:t>
            </w:r>
          </w:p>
          <w:p w:rsidR="00487CDE" w:rsidRPr="00487CDE" w:rsidRDefault="00487CDE" w:rsidP="00487CDE">
            <w:r w:rsidRPr="00487CDE">
              <w:t>*Objective (c) refers specifically to European Regulation 2009/714/EC. Reference to the Agency is to the Agency for the Cooperation of Energy Regulators (ACER).</w:t>
            </w:r>
          </w:p>
          <w:p w:rsidR="00487CDE" w:rsidRDefault="00487CDE" w:rsidP="00487CDE">
            <w:pPr>
              <w:pStyle w:val="BodyText"/>
              <w:tabs>
                <w:tab w:val="left" w:pos="676"/>
              </w:tabs>
              <w:ind w:left="34" w:hanging="34"/>
              <w:rPr>
                <w:rFonts w:cs="Arial"/>
                <w:i/>
                <w:szCs w:val="22"/>
              </w:rPr>
            </w:pPr>
          </w:p>
          <w:p w:rsidR="00487CDE" w:rsidRDefault="00487CDE" w:rsidP="00487CDE">
            <w:pPr>
              <w:pStyle w:val="BodyText"/>
              <w:tabs>
                <w:tab w:val="left" w:pos="676"/>
              </w:tabs>
              <w:ind w:left="34" w:hanging="34"/>
              <w:rPr>
                <w:rFonts w:cs="Arial"/>
                <w:i/>
                <w:szCs w:val="22"/>
              </w:rPr>
            </w:pPr>
          </w:p>
          <w:p w:rsidR="00487CDE" w:rsidRDefault="00487CDE" w:rsidP="00487CDE">
            <w:pPr>
              <w:pStyle w:val="BodyText"/>
              <w:tabs>
                <w:tab w:val="left" w:pos="676"/>
              </w:tabs>
              <w:ind w:left="34" w:hanging="34"/>
              <w:rPr>
                <w:rFonts w:cs="Arial"/>
                <w:i/>
                <w:szCs w:val="22"/>
              </w:rPr>
            </w:pPr>
          </w:p>
          <w:p w:rsidR="00487CDE" w:rsidRDefault="00487CDE" w:rsidP="00487CDE">
            <w:pPr>
              <w:pStyle w:val="BodyText"/>
              <w:tabs>
                <w:tab w:val="left" w:pos="676"/>
              </w:tabs>
              <w:ind w:left="330" w:hanging="330"/>
              <w:rPr>
                <w:rFonts w:cs="Arial"/>
                <w:i/>
                <w:szCs w:val="22"/>
              </w:rPr>
            </w:pPr>
          </w:p>
          <w:p w:rsidR="00487CDE" w:rsidRPr="00651F79" w:rsidRDefault="00487CDE" w:rsidP="00487CDE">
            <w:pPr>
              <w:pStyle w:val="BodyText"/>
              <w:tabs>
                <w:tab w:val="left" w:pos="676"/>
              </w:tabs>
              <w:ind w:left="330" w:hanging="330"/>
              <w:rPr>
                <w:rFonts w:cs="Arial"/>
                <w:i/>
                <w:szCs w:val="22"/>
              </w:rPr>
            </w:pPr>
          </w:p>
        </w:tc>
      </w:tr>
    </w:tbl>
    <w:p w:rsidR="00297D2F" w:rsidRDefault="00297D2F" w:rsidP="00E62A86">
      <w:pPr>
        <w:rPr>
          <w:b/>
        </w:rPr>
      </w:pPr>
    </w:p>
    <w:p w:rsidR="00297D2F" w:rsidRDefault="00297D2F" w:rsidP="00E62A86">
      <w:pPr>
        <w:rPr>
          <w:b/>
        </w:rPr>
      </w:pPr>
    </w:p>
    <w:p w:rsidR="00297D2F" w:rsidRDefault="00297D2F" w:rsidP="00E62A86">
      <w:pPr>
        <w:rPr>
          <w:b/>
        </w:rPr>
      </w:pPr>
    </w:p>
    <w:p w:rsidR="00487CDE" w:rsidRDefault="00487CDE" w:rsidP="00E62A86">
      <w:pPr>
        <w:rPr>
          <w:b/>
        </w:rPr>
      </w:pPr>
    </w:p>
    <w:p w:rsidR="00487CDE" w:rsidRDefault="00487CDE" w:rsidP="00E62A86">
      <w:pPr>
        <w:rPr>
          <w:b/>
        </w:rPr>
      </w:pPr>
    </w:p>
    <w:p w:rsidR="00487CDE" w:rsidRDefault="00487CDE" w:rsidP="00E62A86">
      <w:pPr>
        <w:rPr>
          <w:b/>
        </w:rPr>
      </w:pPr>
    </w:p>
    <w:p w:rsidR="00487CDE" w:rsidRDefault="00487CDE" w:rsidP="00E62A86">
      <w:pPr>
        <w:rPr>
          <w:b/>
        </w:rPr>
      </w:pPr>
    </w:p>
    <w:p w:rsidR="00487CDE" w:rsidRDefault="00487CDE" w:rsidP="00E62A86">
      <w:pPr>
        <w:rPr>
          <w:b/>
        </w:rPr>
      </w:pPr>
    </w:p>
    <w:p w:rsidR="00487CDE" w:rsidRDefault="00487CDE" w:rsidP="00E62A86">
      <w:pPr>
        <w:rPr>
          <w:b/>
        </w:rPr>
      </w:pPr>
    </w:p>
    <w:p w:rsidR="00487CDE" w:rsidRDefault="00487CDE" w:rsidP="00E62A86">
      <w:pPr>
        <w:rPr>
          <w:b/>
        </w:rPr>
      </w:pPr>
    </w:p>
    <w:p w:rsidR="00487CDE" w:rsidRDefault="00487CDE" w:rsidP="00E62A86">
      <w:pPr>
        <w:rPr>
          <w:b/>
        </w:rPr>
      </w:pPr>
    </w:p>
    <w:p w:rsidR="00E9750D" w:rsidRDefault="00E9750D" w:rsidP="00E62A86">
      <w:pPr>
        <w:rPr>
          <w:b/>
        </w:rPr>
      </w:pPr>
    </w:p>
    <w:p w:rsidR="00E9750D" w:rsidRDefault="00E9750D" w:rsidP="00E62A86">
      <w:pPr>
        <w:rPr>
          <w:b/>
        </w:rPr>
      </w:pPr>
    </w:p>
    <w:p w:rsidR="00E62A86" w:rsidRDefault="007E526A" w:rsidP="00E62A86">
      <w:pPr>
        <w:rPr>
          <w:b/>
        </w:rPr>
      </w:pPr>
      <w:r w:rsidRPr="007E526A">
        <w:rPr>
          <w:b/>
        </w:rPr>
        <w:lastRenderedPageBreak/>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402"/>
        <w:gridCol w:w="5991"/>
      </w:tblGrid>
      <w:tr w:rsidR="007E526A" w:rsidRPr="00651F79" w:rsidTr="00DE21F9">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402"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5991"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DE21F9">
        <w:trPr>
          <w:cantSplit/>
          <w:trHeight w:val="267"/>
        </w:trPr>
        <w:tc>
          <w:tcPr>
            <w:tcW w:w="567" w:type="dxa"/>
          </w:tcPr>
          <w:p w:rsidR="007E526A" w:rsidRPr="00651F79" w:rsidRDefault="007E526A" w:rsidP="00731A0D">
            <w:pPr>
              <w:rPr>
                <w:rFonts w:cs="Arial"/>
                <w:szCs w:val="22"/>
              </w:rPr>
            </w:pPr>
            <w:r>
              <w:rPr>
                <w:rFonts w:cs="Arial"/>
                <w:szCs w:val="22"/>
              </w:rPr>
              <w:t>1</w:t>
            </w:r>
          </w:p>
        </w:tc>
        <w:tc>
          <w:tcPr>
            <w:tcW w:w="3402" w:type="dxa"/>
          </w:tcPr>
          <w:p w:rsidR="007E526A" w:rsidRPr="007043A3" w:rsidRDefault="00413FDD" w:rsidP="001B1A2F">
            <w:pPr>
              <w:rPr>
                <w:rFonts w:cs="Arial"/>
                <w:b/>
                <w:bCs/>
                <w:szCs w:val="22"/>
              </w:rPr>
            </w:pPr>
            <w:r>
              <w:rPr>
                <w:rFonts w:cs="Arial"/>
                <w:b/>
                <w:szCs w:val="22"/>
              </w:rPr>
              <w:t>Do you believe that CMP2</w:t>
            </w:r>
            <w:r w:rsidR="00C913EA">
              <w:rPr>
                <w:rFonts w:cs="Arial"/>
                <w:b/>
                <w:szCs w:val="22"/>
              </w:rPr>
              <w:t>8</w:t>
            </w:r>
            <w:r w:rsidR="00487CDE">
              <w:rPr>
                <w:rFonts w:cs="Arial"/>
                <w:b/>
                <w:szCs w:val="22"/>
              </w:rPr>
              <w:t xml:space="preserve">8 and CMP289 </w:t>
            </w:r>
            <w:r w:rsidR="00BF1F85" w:rsidRPr="00BF1F85">
              <w:rPr>
                <w:rFonts w:cs="Arial"/>
                <w:b/>
                <w:szCs w:val="22"/>
              </w:rPr>
              <w:t>Original proposal</w:t>
            </w:r>
            <w:r w:rsidR="00487CDE">
              <w:rPr>
                <w:rFonts w:cs="Arial"/>
                <w:b/>
                <w:szCs w:val="22"/>
              </w:rPr>
              <w:t>s</w:t>
            </w:r>
            <w:r w:rsidR="00BF1F85" w:rsidRPr="00BF1F85">
              <w:rPr>
                <w:rFonts w:cs="Arial"/>
                <w:b/>
                <w:szCs w:val="22"/>
              </w:rPr>
              <w:t>, better facilitates the Applicable CUSC Objectives?</w:t>
            </w:r>
          </w:p>
        </w:tc>
        <w:tc>
          <w:tcPr>
            <w:tcW w:w="5991" w:type="dxa"/>
          </w:tcPr>
          <w:p w:rsidR="007E526A" w:rsidRPr="00651F79" w:rsidRDefault="007E526A" w:rsidP="00731A0D">
            <w:pPr>
              <w:rPr>
                <w:rFonts w:cs="Arial"/>
                <w:szCs w:val="22"/>
              </w:rPr>
            </w:pPr>
          </w:p>
        </w:tc>
      </w:tr>
      <w:tr w:rsidR="007E526A" w:rsidRPr="00651F79" w:rsidTr="00DE21F9">
        <w:trPr>
          <w:cantSplit/>
          <w:trHeight w:val="267"/>
        </w:trPr>
        <w:tc>
          <w:tcPr>
            <w:tcW w:w="567" w:type="dxa"/>
          </w:tcPr>
          <w:p w:rsidR="007E526A" w:rsidRPr="00651F79" w:rsidRDefault="007E526A" w:rsidP="00731A0D">
            <w:pPr>
              <w:rPr>
                <w:rFonts w:cs="Arial"/>
                <w:szCs w:val="22"/>
              </w:rPr>
            </w:pPr>
            <w:r>
              <w:rPr>
                <w:rFonts w:cs="Arial"/>
                <w:szCs w:val="22"/>
              </w:rPr>
              <w:t>2</w:t>
            </w:r>
          </w:p>
        </w:tc>
        <w:tc>
          <w:tcPr>
            <w:tcW w:w="3402"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5991" w:type="dxa"/>
          </w:tcPr>
          <w:p w:rsidR="007E526A" w:rsidRPr="00651F79" w:rsidRDefault="007E526A" w:rsidP="00731A0D">
            <w:pPr>
              <w:rPr>
                <w:rFonts w:cs="Arial"/>
                <w:szCs w:val="22"/>
              </w:rPr>
            </w:pPr>
          </w:p>
        </w:tc>
      </w:tr>
      <w:tr w:rsidR="007E526A" w:rsidRPr="00651F79" w:rsidTr="00DE21F9">
        <w:trPr>
          <w:cantSplit/>
          <w:trHeight w:val="267"/>
        </w:trPr>
        <w:tc>
          <w:tcPr>
            <w:tcW w:w="567" w:type="dxa"/>
          </w:tcPr>
          <w:p w:rsidR="007E526A" w:rsidRDefault="007E526A" w:rsidP="00731A0D">
            <w:pPr>
              <w:rPr>
                <w:rFonts w:cs="Arial"/>
                <w:szCs w:val="22"/>
              </w:rPr>
            </w:pPr>
            <w:r>
              <w:rPr>
                <w:rFonts w:cs="Arial"/>
                <w:szCs w:val="22"/>
              </w:rPr>
              <w:t>3</w:t>
            </w:r>
          </w:p>
        </w:tc>
        <w:tc>
          <w:tcPr>
            <w:tcW w:w="3402"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5991" w:type="dxa"/>
          </w:tcPr>
          <w:p w:rsidR="007E526A" w:rsidRPr="00651F79" w:rsidRDefault="007E526A" w:rsidP="00731A0D">
            <w:pPr>
              <w:rPr>
                <w:rFonts w:cs="Arial"/>
                <w:szCs w:val="22"/>
              </w:rPr>
            </w:pPr>
          </w:p>
        </w:tc>
      </w:tr>
      <w:tr w:rsidR="00C15869" w:rsidRPr="00651F79" w:rsidTr="00DE21F9">
        <w:trPr>
          <w:cantSplit/>
          <w:trHeight w:val="267"/>
        </w:trPr>
        <w:tc>
          <w:tcPr>
            <w:tcW w:w="567" w:type="dxa"/>
          </w:tcPr>
          <w:p w:rsidR="00C15869" w:rsidRDefault="00C15869" w:rsidP="00731A0D">
            <w:pPr>
              <w:rPr>
                <w:rFonts w:cs="Arial"/>
                <w:szCs w:val="22"/>
              </w:rPr>
            </w:pPr>
            <w:r>
              <w:rPr>
                <w:rFonts w:cs="Arial"/>
                <w:szCs w:val="22"/>
              </w:rPr>
              <w:t>4</w:t>
            </w:r>
          </w:p>
        </w:tc>
        <w:tc>
          <w:tcPr>
            <w:tcW w:w="3402" w:type="dxa"/>
          </w:tcPr>
          <w:p w:rsidR="00C15869" w:rsidRPr="00651F79" w:rsidRDefault="00487CDE" w:rsidP="00891EDA">
            <w:pPr>
              <w:pStyle w:val="BodyText"/>
              <w:rPr>
                <w:rFonts w:cs="Arial"/>
                <w:b/>
                <w:szCs w:val="22"/>
              </w:rPr>
            </w:pPr>
            <w:r>
              <w:rPr>
                <w:rFonts w:cs="Arial"/>
                <w:b/>
                <w:szCs w:val="22"/>
              </w:rPr>
              <w:t>Do you wish to raise a Workgroup</w:t>
            </w:r>
            <w:r w:rsidR="00C15869" w:rsidRPr="00651F79">
              <w:rPr>
                <w:rFonts w:cs="Arial"/>
                <w:b/>
                <w:szCs w:val="22"/>
              </w:rPr>
              <w:t xml:space="preserve"> Consultation Alternative Request for the </w:t>
            </w:r>
            <w:r w:rsidR="00C15869">
              <w:rPr>
                <w:rFonts w:cs="Arial"/>
                <w:b/>
                <w:szCs w:val="22"/>
              </w:rPr>
              <w:t>Workgroup</w:t>
            </w:r>
            <w:r w:rsidR="00C15869" w:rsidRPr="00651F79">
              <w:rPr>
                <w:rFonts w:cs="Arial"/>
                <w:b/>
                <w:szCs w:val="22"/>
              </w:rPr>
              <w:t xml:space="preserve"> to consider? </w:t>
            </w:r>
          </w:p>
          <w:p w:rsidR="00C15869" w:rsidRPr="007043A3" w:rsidRDefault="00C15869" w:rsidP="00891EDA">
            <w:pPr>
              <w:rPr>
                <w:b/>
                <w:bCs/>
              </w:rPr>
            </w:pPr>
          </w:p>
        </w:tc>
        <w:tc>
          <w:tcPr>
            <w:tcW w:w="5991" w:type="dxa"/>
          </w:tcPr>
          <w:p w:rsidR="00C15869" w:rsidRDefault="00C15869" w:rsidP="00891EDA">
            <w:pPr>
              <w:rPr>
                <w:rFonts w:cs="Arial"/>
                <w:i/>
                <w:szCs w:val="22"/>
              </w:rPr>
            </w:pPr>
            <w:r w:rsidRPr="00651F79">
              <w:rPr>
                <w:rFonts w:cs="Arial"/>
                <w:i/>
                <w:szCs w:val="22"/>
              </w:rPr>
              <w:t xml:space="preserve">If yes, please complete a WG Consultation Alternative Request form, available on National Grid's </w:t>
            </w:r>
            <w:r w:rsidR="005746F0">
              <w:rPr>
                <w:rFonts w:cs="Arial"/>
                <w:i/>
                <w:szCs w:val="22"/>
              </w:rPr>
              <w:t xml:space="preserve">ESO </w:t>
            </w:r>
            <w:r w:rsidRPr="00651F79">
              <w:rPr>
                <w:rFonts w:cs="Arial"/>
                <w:i/>
                <w:szCs w:val="22"/>
              </w:rPr>
              <w:t>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0"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DE21F9">
        <w:rPr>
          <w:rFonts w:cs="Arial"/>
          <w:b/>
          <w:szCs w:val="22"/>
        </w:rPr>
        <w:t>P28</w:t>
      </w:r>
      <w:r w:rsidR="00487CDE">
        <w:rPr>
          <w:rFonts w:cs="Arial"/>
          <w:b/>
          <w:szCs w:val="22"/>
        </w:rPr>
        <w:t>8 and CMP289</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E62A86" w:rsidRPr="00651F79" w:rsidTr="00FA07C6">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057"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6336"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5</w:t>
            </w:r>
          </w:p>
        </w:tc>
        <w:tc>
          <w:tcPr>
            <w:tcW w:w="3057" w:type="dxa"/>
          </w:tcPr>
          <w:p w:rsidR="00C6345E" w:rsidRPr="00651F79" w:rsidRDefault="00487CDE" w:rsidP="00C6345E">
            <w:pPr>
              <w:pStyle w:val="BodyText"/>
              <w:rPr>
                <w:rFonts w:cs="Arial"/>
                <w:b/>
                <w:szCs w:val="22"/>
              </w:rPr>
            </w:pPr>
            <w:r w:rsidRPr="00487CDE">
              <w:rPr>
                <w:rFonts w:cs="Arial"/>
                <w:b/>
                <w:szCs w:val="22"/>
              </w:rPr>
              <w:t>Do you believe this consultation covers all the relevant interactions between other liability/charging mechanism currently in place in addition to cancelation and connection charge? If not, please can you provide further information.</w:t>
            </w:r>
          </w:p>
        </w:tc>
        <w:tc>
          <w:tcPr>
            <w:tcW w:w="6336" w:type="dxa"/>
          </w:tcPr>
          <w:p w:rsidR="00C6345E" w:rsidRPr="00651F79" w:rsidRDefault="00C6345E" w:rsidP="00C6345E">
            <w:pPr>
              <w:rPr>
                <w:rFonts w:cs="Arial"/>
                <w:i/>
                <w:szCs w:val="22"/>
              </w:rPr>
            </w:pPr>
          </w:p>
        </w:tc>
      </w:tr>
      <w:tr w:rsidR="00C6345E" w:rsidRPr="00651F79" w:rsidTr="009963D4">
        <w:trPr>
          <w:cantSplit/>
          <w:trHeight w:val="267"/>
        </w:trPr>
        <w:tc>
          <w:tcPr>
            <w:tcW w:w="567" w:type="dxa"/>
          </w:tcPr>
          <w:p w:rsidR="00C6345E" w:rsidRPr="00651F79" w:rsidRDefault="00C6345E" w:rsidP="00C6345E">
            <w:pPr>
              <w:rPr>
                <w:rFonts w:cs="Arial"/>
                <w:szCs w:val="22"/>
              </w:rPr>
            </w:pPr>
            <w:r>
              <w:rPr>
                <w:rFonts w:cs="Arial"/>
                <w:szCs w:val="22"/>
              </w:rPr>
              <w:t>6</w:t>
            </w:r>
          </w:p>
        </w:tc>
        <w:tc>
          <w:tcPr>
            <w:tcW w:w="3057" w:type="dxa"/>
          </w:tcPr>
          <w:p w:rsidR="00C6345E" w:rsidRPr="00297D2F" w:rsidRDefault="00487CDE" w:rsidP="00C6345E">
            <w:pPr>
              <w:rPr>
                <w:rFonts w:cs="Arial"/>
                <w:b/>
                <w:szCs w:val="22"/>
              </w:rPr>
            </w:pPr>
            <w:r w:rsidRPr="00487CDE">
              <w:rPr>
                <w:b/>
                <w:szCs w:val="22"/>
              </w:rPr>
              <w:t>Do you agree with the scope of the works which are proposed to be used to calculate the charge?</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Pr="00651F79" w:rsidRDefault="00C6345E" w:rsidP="00C6345E">
            <w:pPr>
              <w:rPr>
                <w:rFonts w:cs="Arial"/>
                <w:szCs w:val="22"/>
              </w:rPr>
            </w:pPr>
            <w:r>
              <w:rPr>
                <w:rFonts w:cs="Arial"/>
                <w:szCs w:val="22"/>
              </w:rPr>
              <w:t>7</w:t>
            </w:r>
          </w:p>
        </w:tc>
        <w:tc>
          <w:tcPr>
            <w:tcW w:w="3057" w:type="dxa"/>
          </w:tcPr>
          <w:p w:rsidR="00C6345E" w:rsidRPr="00297D2F" w:rsidRDefault="00487CDE" w:rsidP="00C6345E">
            <w:pPr>
              <w:rPr>
                <w:rFonts w:cs="Arial"/>
                <w:b/>
                <w:szCs w:val="22"/>
              </w:rPr>
            </w:pPr>
            <w:r w:rsidRPr="00487CDE">
              <w:rPr>
                <w:b/>
                <w:szCs w:val="22"/>
              </w:rPr>
              <w:t>Do you agree with the proposed level of granularity, timing of the proposed information exchange and the period it covers?</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lastRenderedPageBreak/>
              <w:t>8</w:t>
            </w:r>
          </w:p>
        </w:tc>
        <w:tc>
          <w:tcPr>
            <w:tcW w:w="3057" w:type="dxa"/>
          </w:tcPr>
          <w:p w:rsidR="00C6345E" w:rsidRPr="00297D2F" w:rsidRDefault="00487CDE" w:rsidP="00C6345E">
            <w:pPr>
              <w:rPr>
                <w:b/>
                <w:szCs w:val="22"/>
              </w:rPr>
            </w:pPr>
            <w:r w:rsidRPr="00487CDE">
              <w:rPr>
                <w:b/>
                <w:szCs w:val="22"/>
              </w:rPr>
              <w:t>Do you agree with the proposed quarterly reporting of/provision of milestones?</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9</w:t>
            </w:r>
          </w:p>
        </w:tc>
        <w:tc>
          <w:tcPr>
            <w:tcW w:w="3057" w:type="dxa"/>
          </w:tcPr>
          <w:p w:rsidR="00C6345E" w:rsidRPr="00297D2F" w:rsidRDefault="00487CDE" w:rsidP="00C6345E">
            <w:pPr>
              <w:rPr>
                <w:b/>
                <w:szCs w:val="22"/>
              </w:rPr>
            </w:pPr>
            <w:r w:rsidRPr="00487CDE">
              <w:rPr>
                <w:b/>
                <w:szCs w:val="22"/>
              </w:rPr>
              <w:t>Do you believe the report has captured all the cross code/licence issues relevant to these modifications?</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10</w:t>
            </w:r>
          </w:p>
        </w:tc>
        <w:tc>
          <w:tcPr>
            <w:tcW w:w="3057" w:type="dxa"/>
          </w:tcPr>
          <w:p w:rsidR="00C6345E" w:rsidRPr="00DE21F9" w:rsidRDefault="00487CDE" w:rsidP="00C6345E">
            <w:pPr>
              <w:rPr>
                <w:b/>
                <w:szCs w:val="22"/>
              </w:rPr>
            </w:pPr>
            <w:r w:rsidRPr="00487CDE">
              <w:rPr>
                <w:b/>
                <w:szCs w:val="22"/>
              </w:rPr>
              <w:t>Do you agree that the wording of the CUSC should be amended to clarify that one-off charges will be issued to recover additional incremental costs incurred to facilitate a User requested delay or backfeed? If so, do you think this should include a list of example such one off costs that can be incurred for delays and backfeeds?</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11</w:t>
            </w:r>
          </w:p>
        </w:tc>
        <w:tc>
          <w:tcPr>
            <w:tcW w:w="3057" w:type="dxa"/>
          </w:tcPr>
          <w:p w:rsidR="00C6345E" w:rsidRPr="00DE21F9" w:rsidRDefault="00487CDE" w:rsidP="00C6345E">
            <w:pPr>
              <w:rPr>
                <w:b/>
                <w:szCs w:val="22"/>
              </w:rPr>
            </w:pPr>
            <w:r w:rsidRPr="00487CDE">
              <w:rPr>
                <w:b/>
                <w:szCs w:val="22"/>
              </w:rPr>
              <w:t>Do you support either of the solutions proposed for calculating financing charges in relation to shared and wider enabling works? Do you have another solution which may be better?</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12</w:t>
            </w:r>
          </w:p>
        </w:tc>
        <w:tc>
          <w:tcPr>
            <w:tcW w:w="3057" w:type="dxa"/>
          </w:tcPr>
          <w:p w:rsidR="00C6345E" w:rsidRPr="00DE21F9" w:rsidRDefault="00487CDE" w:rsidP="00C6345E">
            <w:pPr>
              <w:rPr>
                <w:b/>
                <w:szCs w:val="22"/>
              </w:rPr>
            </w:pPr>
            <w:r w:rsidRPr="00487CDE">
              <w:rPr>
                <w:b/>
                <w:szCs w:val="22"/>
              </w:rPr>
              <w:t>Do you agree with the proposed approach that the delay/backfeed charges should be paid as the costs are incurred? Or do you feel they should be paid in an alternative timeframe (e.g. the point of connection)?</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13</w:t>
            </w:r>
          </w:p>
        </w:tc>
        <w:tc>
          <w:tcPr>
            <w:tcW w:w="3057" w:type="dxa"/>
          </w:tcPr>
          <w:p w:rsidR="00C6345E" w:rsidRPr="00DE21F9" w:rsidRDefault="00487CDE" w:rsidP="00C6345E">
            <w:pPr>
              <w:rPr>
                <w:b/>
                <w:szCs w:val="22"/>
              </w:rPr>
            </w:pPr>
            <w:r w:rsidRPr="00487CDE">
              <w:rPr>
                <w:b/>
                <w:szCs w:val="22"/>
              </w:rPr>
              <w:t>Do you agree with the one month deadline to notify the TO of an intention to delay, to allow the TO to reassess its investment strategy?</w:t>
            </w:r>
          </w:p>
        </w:tc>
        <w:tc>
          <w:tcPr>
            <w:tcW w:w="6336" w:type="dxa"/>
          </w:tcPr>
          <w:p w:rsidR="00C6345E" w:rsidRPr="00594962" w:rsidRDefault="00C6345E" w:rsidP="00C6345E">
            <w:pPr>
              <w:rPr>
                <w:rFonts w:cs="Arial"/>
                <w:szCs w:val="22"/>
              </w:rPr>
            </w:pPr>
          </w:p>
        </w:tc>
      </w:tr>
      <w:tr w:rsidR="00487CDE" w:rsidRPr="00651F79" w:rsidTr="009963D4">
        <w:trPr>
          <w:cantSplit/>
          <w:trHeight w:val="267"/>
        </w:trPr>
        <w:tc>
          <w:tcPr>
            <w:tcW w:w="567" w:type="dxa"/>
          </w:tcPr>
          <w:p w:rsidR="00487CDE" w:rsidRDefault="00487CDE" w:rsidP="00C6345E">
            <w:pPr>
              <w:rPr>
                <w:rFonts w:cs="Arial"/>
                <w:szCs w:val="22"/>
              </w:rPr>
            </w:pPr>
            <w:r>
              <w:rPr>
                <w:rFonts w:cs="Arial"/>
                <w:szCs w:val="22"/>
              </w:rPr>
              <w:lastRenderedPageBreak/>
              <w:t>14</w:t>
            </w:r>
          </w:p>
        </w:tc>
        <w:tc>
          <w:tcPr>
            <w:tcW w:w="3057" w:type="dxa"/>
          </w:tcPr>
          <w:p w:rsidR="00487CDE" w:rsidRPr="00487CDE" w:rsidRDefault="00487CDE" w:rsidP="00C6345E">
            <w:pPr>
              <w:rPr>
                <w:b/>
                <w:szCs w:val="22"/>
              </w:rPr>
            </w:pPr>
            <w:r w:rsidRPr="00487CDE">
              <w:rPr>
                <w:b/>
                <w:szCs w:val="22"/>
              </w:rPr>
              <w:t>Do you agree that individual TOs’ regulated Weighted Average Cost of Capital (WACC) should be used as the financing rate to calculate the proposed financing charges?</w:t>
            </w:r>
          </w:p>
        </w:tc>
        <w:tc>
          <w:tcPr>
            <w:tcW w:w="6336" w:type="dxa"/>
          </w:tcPr>
          <w:p w:rsidR="00487CDE" w:rsidRPr="00594962" w:rsidRDefault="00487CDE" w:rsidP="00C6345E">
            <w:pPr>
              <w:rPr>
                <w:rFonts w:cs="Arial"/>
                <w:szCs w:val="22"/>
              </w:rPr>
            </w:pPr>
          </w:p>
        </w:tc>
      </w:tr>
    </w:tbl>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9E" w:rsidRDefault="00FF6D9E">
      <w:r>
        <w:separator/>
      </w:r>
    </w:p>
  </w:footnote>
  <w:footnote w:type="continuationSeparator" w:id="0">
    <w:p w:rsidR="00FF6D9E" w:rsidRDefault="00FF6D9E">
      <w:r>
        <w:continuationSeparator/>
      </w:r>
    </w:p>
  </w:footnote>
  <w:footnote w:id="1">
    <w:p w:rsidR="00DE21F9" w:rsidRDefault="00FF6D9E" w:rsidP="00DE21F9">
      <w:pPr>
        <w:jc w:val="both"/>
      </w:pPr>
      <w:r>
        <w:rPr>
          <w:rStyle w:val="FootnoteReference"/>
        </w:rPr>
        <w:footnoteRef/>
      </w:r>
      <w:hyperlink r:id="rId1" w:history="1">
        <w:r w:rsidR="005746F0" w:rsidRPr="00110091">
          <w:rPr>
            <w:rStyle w:val="Hyperlink"/>
          </w:rPr>
          <w:t>https://ww</w:t>
        </w:r>
        <w:r w:rsidR="005746F0" w:rsidRPr="00110091">
          <w:rPr>
            <w:rStyle w:val="Hyperlink"/>
          </w:rPr>
          <w:t>w</w:t>
        </w:r>
        <w:r w:rsidR="005746F0" w:rsidRPr="00110091">
          <w:rPr>
            <w:rStyle w:val="Hyperlink"/>
          </w:rPr>
          <w:t>.nationalgrideso.com/codes/connection-and-use-system-code-cusc/cusc-modifications</w:t>
        </w:r>
      </w:hyperlink>
    </w:p>
    <w:p w:rsidR="00DE21F9" w:rsidRPr="002368F6" w:rsidRDefault="00DE21F9" w:rsidP="007E526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42B12"/>
    <w:rsid w:val="00196A22"/>
    <w:rsid w:val="001A38EA"/>
    <w:rsid w:val="001B1A2F"/>
    <w:rsid w:val="001D2A93"/>
    <w:rsid w:val="001E44D8"/>
    <w:rsid w:val="001E6AE5"/>
    <w:rsid w:val="002042CC"/>
    <w:rsid w:val="002060CE"/>
    <w:rsid w:val="0021533A"/>
    <w:rsid w:val="002362A8"/>
    <w:rsid w:val="002368F6"/>
    <w:rsid w:val="00242625"/>
    <w:rsid w:val="00245FF6"/>
    <w:rsid w:val="00253EEF"/>
    <w:rsid w:val="00297D2F"/>
    <w:rsid w:val="002A6DA8"/>
    <w:rsid w:val="002A7646"/>
    <w:rsid w:val="002C1202"/>
    <w:rsid w:val="002E102B"/>
    <w:rsid w:val="002E4C32"/>
    <w:rsid w:val="002F28F3"/>
    <w:rsid w:val="002F5AE0"/>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87CDE"/>
    <w:rsid w:val="004A78DB"/>
    <w:rsid w:val="004B2969"/>
    <w:rsid w:val="004D2939"/>
    <w:rsid w:val="004E7A2B"/>
    <w:rsid w:val="00502C4E"/>
    <w:rsid w:val="005226D7"/>
    <w:rsid w:val="005336C5"/>
    <w:rsid w:val="00551D62"/>
    <w:rsid w:val="005746F0"/>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345E"/>
    <w:rsid w:val="00C64BCE"/>
    <w:rsid w:val="00C67ACC"/>
    <w:rsid w:val="00C90785"/>
    <w:rsid w:val="00C913EA"/>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E21F9"/>
    <w:rsid w:val="00DF54AB"/>
    <w:rsid w:val="00E04AB4"/>
    <w:rsid w:val="00E26718"/>
    <w:rsid w:val="00E27292"/>
    <w:rsid w:val="00E36ECF"/>
    <w:rsid w:val="00E52628"/>
    <w:rsid w:val="00E62A86"/>
    <w:rsid w:val="00E96D23"/>
    <w:rsid w:val="00E9750D"/>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FB639"/>
  <w15:docId w15:val="{78B91D43-14E0-468A-BB3A-D36B7EB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 w:type="character" w:styleId="Mention">
    <w:name w:val="Mention"/>
    <w:basedOn w:val="DefaultParagraphFont"/>
    <w:uiPriority w:val="99"/>
    <w:semiHidden/>
    <w:unhideWhenUsed/>
    <w:rsid w:val="002F5AE0"/>
    <w:rPr>
      <w:color w:val="2B579A"/>
      <w:shd w:val="clear" w:color="auto" w:fill="E6E6E6"/>
    </w:rPr>
  </w:style>
  <w:style w:type="character" w:styleId="FollowedHyperlink">
    <w:name w:val="FollowedHyperlink"/>
    <w:basedOn w:val="DefaultParagraphFont"/>
    <w:semiHidden/>
    <w:unhideWhenUsed/>
    <w:rsid w:val="00574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caroline.wright@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grideso.com/codes/connection-and-use-system-code-cusc/cusc-mod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0D90-D0AF-4A15-B6A0-F66189AA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6199</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Akhtar, Shazia</cp:lastModifiedBy>
  <cp:revision>10</cp:revision>
  <cp:lastPrinted>2015-11-26T14:15:00Z</cp:lastPrinted>
  <dcterms:created xsi:type="dcterms:W3CDTF">2017-06-09T07:36:00Z</dcterms:created>
  <dcterms:modified xsi:type="dcterms:W3CDTF">2019-01-11T06:59:00Z</dcterms:modified>
</cp:coreProperties>
</file>