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charts/chart1.xml" ContentType="application/vnd.openxmlformats-officedocument.drawingml.chart+xml"/>
  <Override PartName="/word/theme/theme1.xml" ContentType="application/vnd.openxmlformats-officedocument.theme+xml"/>
  <Override PartName="/word/charts/chart3.xml" ContentType="application/vnd.openxmlformats-officedocument.drawingml.chart+xml"/>
  <Override PartName="/word/charts/colors2.xml" ContentType="application/vnd.ms-office.chartcolorstyle+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1A7A6" w14:textId="77777777" w:rsidR="00124727" w:rsidRDefault="00AD6548">
      <w:r>
        <w:t>Excerpts from the stakeholder performance report – ESO</w:t>
      </w:r>
    </w:p>
    <w:p w14:paraId="75E941ED" w14:textId="77777777" w:rsidR="00AD6548" w:rsidRPr="00126472" w:rsidRDefault="00AD6548" w:rsidP="00AD6548">
      <w:pPr>
        <w:spacing w:before="100" w:beforeAutospacing="1" w:after="360"/>
        <w:jc w:val="both"/>
        <w:rPr>
          <w:b/>
          <w:bCs/>
        </w:rPr>
      </w:pPr>
      <w:r w:rsidRPr="7354260B">
        <w:rPr>
          <w:b/>
          <w:bCs/>
        </w:rPr>
        <w:t>Executive Summary from Nicola Shaw, Executive Director</w:t>
      </w:r>
    </w:p>
    <w:p w14:paraId="10930AE6" w14:textId="77777777" w:rsidR="00AD6548" w:rsidRDefault="00AD6548" w:rsidP="00AD6548">
      <w:pPr>
        <w:spacing w:after="0" w:line="360" w:lineRule="auto"/>
        <w:jc w:val="both"/>
      </w:pPr>
      <w:r>
        <w:t xml:space="preserve">The UK is rapidly transforming to a low carbon energy system and National Grid </w:t>
      </w:r>
      <w:proofErr w:type="spellStart"/>
      <w:r>
        <w:t>isat</w:t>
      </w:r>
      <w:proofErr w:type="spellEnd"/>
      <w:r>
        <w:t xml:space="preserve"> the heart of this transformation.  2017/18 has seen several ‘firsts’, with three consecutive working days without coal fired generation and record levels of renewable generation connected to the system.  This changing energy landscape creates new network and system operation challenges. We are managing these through understanding the changing needs of our</w:t>
      </w:r>
      <w:r w:rsidRPr="28560C8C">
        <w:t xml:space="preserve"> </w:t>
      </w:r>
      <w:r>
        <w:t>stakeholders, and a strong focus on innovation.  Against this backdrop, I am</w:t>
      </w:r>
      <w:r w:rsidRPr="28560C8C">
        <w:t xml:space="preserve"> </w:t>
      </w:r>
      <w:r>
        <w:t>pleased to report that in 2017/18 our Electricity Transmission business has continued to perform strongly for customers whilst facilitating the transition to a low carbon energy future.  We have delivered high levels of reliability, driven</w:t>
      </w:r>
      <w:r w:rsidRPr="28560C8C">
        <w:t xml:space="preserve"> </w:t>
      </w:r>
      <w:r>
        <w:t>efficiencies to further reduce our costs, improved</w:t>
      </w:r>
      <w:r w:rsidRPr="28560C8C">
        <w:t xml:space="preserve"> </w:t>
      </w:r>
      <w:r>
        <w:t>both customer and stakeholder satisfaction, and reduced</w:t>
      </w:r>
      <w:r w:rsidRPr="28560C8C">
        <w:t xml:space="preserve"> </w:t>
      </w:r>
      <w:r>
        <w:t xml:space="preserve">the impact of our operations on the environment. Whilst we have done this we have continued to innovate and invest for the benefit of both existing and future consumers. </w:t>
      </w:r>
    </w:p>
    <w:p w14:paraId="7415DF4F" w14:textId="77777777" w:rsidR="00AD6548" w:rsidRPr="00476A6B" w:rsidRDefault="00AD6548" w:rsidP="00AD6548">
      <w:pPr>
        <w:pStyle w:val="ListParagraph"/>
        <w:numPr>
          <w:ilvl w:val="0"/>
          <w:numId w:val="1"/>
        </w:numPr>
        <w:spacing w:line="360" w:lineRule="auto"/>
        <w:jc w:val="both"/>
        <w:rPr>
          <w:rFonts w:asciiTheme="minorHAnsi" w:hAnsiTheme="minorHAnsi"/>
          <w:sz w:val="22"/>
          <w:szCs w:val="22"/>
        </w:rPr>
      </w:pPr>
      <w:r w:rsidRPr="00476A6B">
        <w:rPr>
          <w:rFonts w:asciiTheme="minorHAnsi" w:hAnsiTheme="minorHAnsi"/>
          <w:b/>
          <w:bCs/>
          <w:sz w:val="22"/>
          <w:szCs w:val="22"/>
        </w:rPr>
        <w:t>Customer Satisfaction</w:t>
      </w:r>
      <w:r w:rsidRPr="00476A6B">
        <w:rPr>
          <w:rFonts w:asciiTheme="minorHAnsi" w:hAnsiTheme="minorHAnsi"/>
          <w:sz w:val="22"/>
          <w:szCs w:val="22"/>
        </w:rPr>
        <w:t xml:space="preserve"> – We are proud that our improvements in customer service have been reflected in customer satisfaction ratings which have increased from 7.4 to 7.7. This improvement reflects the focus and hard work across our whole business to improve the way we engage with our customers and deliver what they ask for, when they ask for it.  Our </w:t>
      </w:r>
      <w:r>
        <w:rPr>
          <w:rFonts w:asciiTheme="minorHAnsi" w:hAnsiTheme="minorHAnsi"/>
          <w:sz w:val="22"/>
          <w:szCs w:val="22"/>
        </w:rPr>
        <w:t>s</w:t>
      </w:r>
      <w:r w:rsidRPr="00476A6B">
        <w:rPr>
          <w:rFonts w:asciiTheme="minorHAnsi" w:hAnsiTheme="minorHAnsi"/>
          <w:sz w:val="22"/>
          <w:szCs w:val="22"/>
        </w:rPr>
        <w:t xml:space="preserve">takeholder </w:t>
      </w:r>
      <w:r>
        <w:rPr>
          <w:rFonts w:asciiTheme="minorHAnsi" w:hAnsiTheme="minorHAnsi"/>
          <w:sz w:val="22"/>
          <w:szCs w:val="22"/>
        </w:rPr>
        <w:t>s</w:t>
      </w:r>
      <w:r w:rsidRPr="00476A6B">
        <w:rPr>
          <w:rFonts w:asciiTheme="minorHAnsi" w:hAnsiTheme="minorHAnsi"/>
          <w:sz w:val="22"/>
          <w:szCs w:val="22"/>
        </w:rPr>
        <w:t xml:space="preserve">atisfaction </w:t>
      </w:r>
      <w:r>
        <w:rPr>
          <w:rFonts w:asciiTheme="minorHAnsi" w:hAnsiTheme="minorHAnsi"/>
          <w:sz w:val="22"/>
          <w:szCs w:val="22"/>
        </w:rPr>
        <w:t xml:space="preserve">survey </w:t>
      </w:r>
      <w:r w:rsidRPr="00476A6B">
        <w:rPr>
          <w:rFonts w:asciiTheme="minorHAnsi" w:hAnsiTheme="minorHAnsi"/>
          <w:sz w:val="22"/>
          <w:szCs w:val="22"/>
        </w:rPr>
        <w:t xml:space="preserve">score has also increased from 7.66 to 7.88, further reinforcing an improving trend. However, we recognise there is still much more to do as our goal is to exceed the expectations of our customers and stakeholders. </w:t>
      </w:r>
    </w:p>
    <w:p w14:paraId="0624DE07" w14:textId="77777777" w:rsidR="00AD6548" w:rsidRDefault="00AD6548" w:rsidP="00AD6548">
      <w:pPr>
        <w:spacing w:after="0" w:line="360" w:lineRule="auto"/>
        <w:jc w:val="both"/>
      </w:pPr>
    </w:p>
    <w:p w14:paraId="4F665DA0" w14:textId="77777777" w:rsidR="00AD6548" w:rsidRDefault="00AD6548" w:rsidP="00AD6548">
      <w:pPr>
        <w:spacing w:after="0" w:line="360" w:lineRule="auto"/>
        <w:jc w:val="both"/>
      </w:pPr>
      <w:r>
        <w:t>Looking forwards, we will continue to engage with stakeholders on a range of issues important to all of us</w:t>
      </w:r>
      <w:r w:rsidRPr="00F16B92">
        <w:t>. This includes</w:t>
      </w:r>
      <w:r>
        <w:t xml:space="preserve"> what the future energy mix could be through our Future Energy Scenarios; developing the future role of the SO in a changing worl</w:t>
      </w:r>
      <w:r w:rsidRPr="003E6323">
        <w:t>d;</w:t>
      </w:r>
      <w:r>
        <w:t xml:space="preserve"> and </w:t>
      </w:r>
      <w:r>
        <w:rPr>
          <w:rFonts w:ascii="Segoe UI" w:hAnsi="Segoe UI" w:cs="Segoe UI"/>
          <w:color w:val="000000"/>
          <w:sz w:val="20"/>
          <w:szCs w:val="20"/>
        </w:rPr>
        <w:t>how transmission and distribution networks need to evolve with the expanding role of active demand and changing generation sources</w:t>
      </w:r>
      <w:r>
        <w:t xml:space="preserve">.  </w:t>
      </w:r>
    </w:p>
    <w:p w14:paraId="2522ADFA" w14:textId="77777777" w:rsidR="00AD6548" w:rsidRDefault="00AD6548" w:rsidP="00AD6548">
      <w:pPr>
        <w:spacing w:after="0" w:line="360" w:lineRule="auto"/>
        <w:jc w:val="both"/>
      </w:pPr>
    </w:p>
    <w:p w14:paraId="3E79040C" w14:textId="77777777" w:rsidR="00AD6548" w:rsidRDefault="00AD6548" w:rsidP="00AD6548">
      <w:pPr>
        <w:spacing w:after="0" w:line="360" w:lineRule="auto"/>
        <w:jc w:val="both"/>
      </w:pPr>
      <w:r>
        <w:t xml:space="preserve">We are nearing completion of the process to legally separate the Electricity System Operator (ESO) from National Grid Electricity Transmission. We have made good progress throughout 2017/18 and are on track to deliver this as planned by April 2019.  This will deliver the flexibility and focus needed to meet the challenges ahead and supports Government and Ofgem ambitions. </w:t>
      </w:r>
    </w:p>
    <w:p w14:paraId="439D0AFD" w14:textId="77777777" w:rsidR="00AD6548" w:rsidRDefault="00AD6548" w:rsidP="00AD6548">
      <w:pPr>
        <w:jc w:val="both"/>
        <w:rPr>
          <w:b/>
          <w:bCs/>
        </w:rPr>
      </w:pPr>
    </w:p>
    <w:p w14:paraId="7ABB6273" w14:textId="77777777" w:rsidR="00AD6548" w:rsidRPr="00912B6C" w:rsidRDefault="00AD6548" w:rsidP="00AD6548">
      <w:pPr>
        <w:jc w:val="both"/>
        <w:rPr>
          <w:b/>
          <w:bCs/>
        </w:rPr>
      </w:pPr>
      <w:r w:rsidRPr="571BC80D">
        <w:rPr>
          <w:b/>
          <w:bCs/>
        </w:rPr>
        <w:lastRenderedPageBreak/>
        <w:t>Who we are and what we do</w:t>
      </w:r>
    </w:p>
    <w:p w14:paraId="01BCCE1E" w14:textId="77777777" w:rsidR="00AD6548" w:rsidRDefault="00AD6548" w:rsidP="00AD6548">
      <w:pPr>
        <w:spacing w:after="0" w:line="360" w:lineRule="auto"/>
        <w:jc w:val="both"/>
      </w:pPr>
      <w:r w:rsidRPr="00F16B92">
        <w:t xml:space="preserve">We </w:t>
      </w:r>
      <w:r>
        <w:t xml:space="preserve">are </w:t>
      </w:r>
      <w:r w:rsidRPr="00F16B92">
        <w:t>also</w:t>
      </w:r>
      <w:r>
        <w:t xml:space="preserve"> the System Operator of</w:t>
      </w:r>
      <w:r w:rsidRPr="00F16B92">
        <w:t xml:space="preserve"> Great Britain's entire electricity transmission system, including the Scottish and offshore networks. </w:t>
      </w:r>
    </w:p>
    <w:p w14:paraId="433BFD96" w14:textId="77777777" w:rsidR="00AD6548" w:rsidRDefault="00AD6548" w:rsidP="00AD6548">
      <w:pPr>
        <w:spacing w:after="0" w:line="360" w:lineRule="auto"/>
        <w:jc w:val="both"/>
      </w:pPr>
    </w:p>
    <w:p w14:paraId="6F7C2F2B" w14:textId="77777777" w:rsidR="00AD6548" w:rsidRPr="009871A8" w:rsidRDefault="00AD6548" w:rsidP="00AD6548">
      <w:pPr>
        <w:spacing w:after="0" w:line="360" w:lineRule="auto"/>
        <w:rPr>
          <w:b/>
          <w:bCs/>
          <w:sz w:val="24"/>
          <w:szCs w:val="24"/>
        </w:rPr>
      </w:pPr>
      <w:r w:rsidRPr="571BC80D">
        <w:rPr>
          <w:b/>
          <w:bCs/>
          <w:sz w:val="24"/>
          <w:szCs w:val="24"/>
        </w:rPr>
        <w:t>Our Performance Scorecard</w:t>
      </w:r>
    </w:p>
    <w:tbl>
      <w:tblPr>
        <w:tblW w:w="11058" w:type="dxa"/>
        <w:tblInd w:w="-368" w:type="dxa"/>
        <w:tblLayout w:type="fixed"/>
        <w:tblCellMar>
          <w:left w:w="0" w:type="dxa"/>
          <w:right w:w="0" w:type="dxa"/>
        </w:tblCellMar>
        <w:tblLook w:val="04A0" w:firstRow="1" w:lastRow="0" w:firstColumn="1" w:lastColumn="0" w:noHBand="0" w:noVBand="1"/>
      </w:tblPr>
      <w:tblGrid>
        <w:gridCol w:w="368"/>
        <w:gridCol w:w="68"/>
        <w:gridCol w:w="2400"/>
        <w:gridCol w:w="357"/>
        <w:gridCol w:w="210"/>
        <w:gridCol w:w="1208"/>
        <w:gridCol w:w="68"/>
        <w:gridCol w:w="5953"/>
        <w:gridCol w:w="358"/>
        <w:gridCol w:w="68"/>
      </w:tblGrid>
      <w:tr w:rsidR="00AD6548" w:rsidRPr="00360891" w14:paraId="7E54C199" w14:textId="77777777" w:rsidTr="00AD6548">
        <w:trPr>
          <w:gridAfter w:val="2"/>
          <w:wAfter w:w="426" w:type="dxa"/>
          <w:trHeight w:val="391"/>
        </w:trPr>
        <w:tc>
          <w:tcPr>
            <w:tcW w:w="28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58" w:type="dxa"/>
              <w:bottom w:w="0" w:type="dxa"/>
              <w:right w:w="58" w:type="dxa"/>
            </w:tcMar>
            <w:vAlign w:val="center"/>
            <w:hideMark/>
          </w:tcPr>
          <w:p w14:paraId="0A2A8700" w14:textId="77777777" w:rsidR="00AD6548" w:rsidRPr="00652BB7" w:rsidRDefault="00AD6548" w:rsidP="001940F1">
            <w:pPr>
              <w:spacing w:after="0"/>
              <w:rPr>
                <w:sz w:val="18"/>
                <w:szCs w:val="18"/>
              </w:rPr>
            </w:pPr>
            <w:r w:rsidRPr="571BC80D">
              <w:rPr>
                <w:b/>
                <w:bCs/>
                <w:sz w:val="18"/>
                <w:szCs w:val="18"/>
              </w:rPr>
              <w:t>Output requirement</w:t>
            </w:r>
          </w:p>
        </w:tc>
        <w:tc>
          <w:tcPr>
            <w:tcW w:w="17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58" w:type="dxa"/>
              <w:bottom w:w="0" w:type="dxa"/>
              <w:right w:w="58" w:type="dxa"/>
            </w:tcMar>
            <w:vAlign w:val="center"/>
            <w:hideMark/>
          </w:tcPr>
          <w:p w14:paraId="1C89C094" w14:textId="77777777" w:rsidR="00AD6548" w:rsidRPr="00652BB7" w:rsidRDefault="00AD6548" w:rsidP="001940F1">
            <w:pPr>
              <w:spacing w:after="0"/>
              <w:rPr>
                <w:sz w:val="18"/>
                <w:szCs w:val="18"/>
              </w:rPr>
            </w:pPr>
            <w:r w:rsidRPr="571BC80D">
              <w:rPr>
                <w:b/>
                <w:bCs/>
                <w:sz w:val="18"/>
                <w:szCs w:val="18"/>
              </w:rPr>
              <w:t> RIIO target</w:t>
            </w:r>
          </w:p>
        </w:tc>
        <w:tc>
          <w:tcPr>
            <w:tcW w:w="60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58" w:type="dxa"/>
              <w:bottom w:w="0" w:type="dxa"/>
              <w:right w:w="58" w:type="dxa"/>
            </w:tcMar>
            <w:vAlign w:val="center"/>
            <w:hideMark/>
          </w:tcPr>
          <w:p w14:paraId="6BAD9C5E" w14:textId="77777777" w:rsidR="00AD6548" w:rsidRPr="00360891" w:rsidRDefault="00AD6548" w:rsidP="00AD6548">
            <w:pPr>
              <w:spacing w:after="0"/>
              <w:rPr>
                <w:b/>
                <w:bCs/>
                <w:sz w:val="16"/>
                <w:szCs w:val="16"/>
              </w:rPr>
            </w:pPr>
            <w:r w:rsidRPr="571BC80D">
              <w:rPr>
                <w:b/>
                <w:bCs/>
                <w:sz w:val="16"/>
                <w:szCs w:val="16"/>
              </w:rPr>
              <w:t> </w:t>
            </w:r>
            <w:r w:rsidRPr="00AD6548">
              <w:rPr>
                <w:b/>
                <w:bCs/>
                <w:sz w:val="18"/>
                <w:szCs w:val="16"/>
              </w:rPr>
              <w:t>RIIO Performance</w:t>
            </w:r>
          </w:p>
        </w:tc>
      </w:tr>
      <w:tr w:rsidR="00AD6548" w:rsidRPr="0057573A" w14:paraId="0E465495" w14:textId="77777777" w:rsidTr="00AD6548">
        <w:tblPrEx>
          <w:jc w:val="center"/>
          <w:tblInd w:w="0" w:type="dxa"/>
        </w:tblPrEx>
        <w:trPr>
          <w:gridBefore w:val="1"/>
          <w:gridAfter w:val="1"/>
          <w:wBefore w:w="368" w:type="dxa"/>
          <w:wAfter w:w="68" w:type="dxa"/>
          <w:trHeight w:val="321"/>
          <w:jc w:val="center"/>
        </w:trPr>
        <w:tc>
          <w:tcPr>
            <w:tcW w:w="10622"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15" w:type="dxa"/>
              <w:left w:w="58" w:type="dxa"/>
              <w:bottom w:w="0" w:type="dxa"/>
              <w:right w:w="58" w:type="dxa"/>
            </w:tcMar>
          </w:tcPr>
          <w:p w14:paraId="149409BD" w14:textId="77777777" w:rsidR="00AD6548" w:rsidRPr="0057573A" w:rsidRDefault="00AD6548" w:rsidP="001940F1">
            <w:pPr>
              <w:spacing w:after="0"/>
              <w:rPr>
                <w:b/>
                <w:bCs/>
                <w:color w:val="FFFFFF" w:themeColor="background1"/>
                <w:sz w:val="16"/>
                <w:szCs w:val="16"/>
              </w:rPr>
            </w:pPr>
            <w:r w:rsidRPr="571BC80D">
              <w:rPr>
                <w:b/>
                <w:bCs/>
                <w:color w:val="FFFFFF" w:themeColor="background1"/>
                <w:sz w:val="20"/>
                <w:szCs w:val="20"/>
              </w:rPr>
              <w:t>System Operator Incentives</w:t>
            </w:r>
          </w:p>
        </w:tc>
      </w:tr>
      <w:tr w:rsidR="00AD6548" w:rsidRPr="00070E0B" w14:paraId="1ECB56B4" w14:textId="77777777" w:rsidTr="00AD6548">
        <w:tblPrEx>
          <w:jc w:val="center"/>
          <w:tblInd w:w="0" w:type="dxa"/>
          <w:tblCellMar>
            <w:left w:w="108" w:type="dxa"/>
            <w:right w:w="108" w:type="dxa"/>
          </w:tblCellMar>
        </w:tblPrEx>
        <w:trPr>
          <w:gridBefore w:val="1"/>
          <w:gridAfter w:val="1"/>
          <w:wBefore w:w="368" w:type="dxa"/>
          <w:wAfter w:w="68" w:type="dxa"/>
          <w:trHeight w:val="983"/>
          <w:jc w:val="center"/>
        </w:trPr>
        <w:tc>
          <w:tcPr>
            <w:tcW w:w="28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B277F18" w14:textId="77777777" w:rsidR="00AD6548" w:rsidRPr="00F47C94" w:rsidRDefault="00AD6548" w:rsidP="001940F1">
            <w:pPr>
              <w:spacing w:after="0"/>
              <w:rPr>
                <w:b/>
                <w:bCs/>
                <w:sz w:val="18"/>
                <w:szCs w:val="18"/>
              </w:rPr>
            </w:pPr>
            <w:r w:rsidRPr="571BC80D">
              <w:rPr>
                <w:b/>
                <w:bCs/>
                <w:sz w:val="18"/>
                <w:szCs w:val="18"/>
              </w:rPr>
              <w:t>Forecast the amount of wind generation produced</w:t>
            </w:r>
          </w:p>
          <w:p w14:paraId="75438093" w14:textId="77777777" w:rsidR="00AD6548" w:rsidRPr="00F47C94" w:rsidRDefault="00AD6548" w:rsidP="001940F1">
            <w:pPr>
              <w:spacing w:after="0"/>
              <w:rPr>
                <w:sz w:val="18"/>
                <w:szCs w:val="18"/>
              </w:rPr>
            </w:pPr>
            <w:r w:rsidRPr="571BC80D">
              <w:rPr>
                <w:sz w:val="18"/>
                <w:szCs w:val="18"/>
              </w:rPr>
              <w:t xml:space="preserve">£3m annual cap and collar incentive based on our accuracy in forecasting of renewable generation output. </w:t>
            </w:r>
          </w:p>
          <w:p w14:paraId="39A884D5" w14:textId="77777777" w:rsidR="00AD6548" w:rsidRPr="008B6EA9" w:rsidRDefault="00AD6548" w:rsidP="001940F1">
            <w:pPr>
              <w:spacing w:after="0"/>
              <w:rPr>
                <w:b/>
                <w:bCs/>
                <w:sz w:val="16"/>
                <w:szCs w:val="16"/>
              </w:rPr>
            </w:pPr>
            <w:r w:rsidRPr="571BC80D">
              <w:rPr>
                <w:sz w:val="18"/>
                <w:szCs w:val="18"/>
              </w:rPr>
              <w:t>Performance in 2017 / 18 was slightly below the target resulting in a penalty of £0.25m.</w:t>
            </w:r>
          </w:p>
        </w:tc>
        <w:tc>
          <w:tcPr>
            <w:tcW w:w="14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0FCBBEB" w14:textId="77777777" w:rsidR="00AD6548" w:rsidRPr="00652BB7" w:rsidRDefault="00AD6548" w:rsidP="001940F1">
            <w:pPr>
              <w:spacing w:after="0"/>
              <w:rPr>
                <w:sz w:val="18"/>
                <w:szCs w:val="18"/>
              </w:rPr>
            </w:pPr>
            <w:r w:rsidRPr="571BC80D">
              <w:rPr>
                <w:sz w:val="18"/>
                <w:szCs w:val="18"/>
              </w:rPr>
              <w:t xml:space="preserve">From 2015/16 the target accuracy is to be within </w:t>
            </w:r>
          </w:p>
          <w:p w14:paraId="4AC1E65C" w14:textId="77777777" w:rsidR="00AD6548" w:rsidRPr="00652BB7" w:rsidRDefault="00AD6548" w:rsidP="001940F1">
            <w:pPr>
              <w:spacing w:after="0"/>
              <w:rPr>
                <w:sz w:val="18"/>
                <w:szCs w:val="18"/>
              </w:rPr>
            </w:pPr>
            <w:r w:rsidRPr="571BC80D">
              <w:rPr>
                <w:sz w:val="18"/>
                <w:szCs w:val="18"/>
              </w:rPr>
              <w:t xml:space="preserve">+/-3.5% in summer and </w:t>
            </w:r>
          </w:p>
          <w:p w14:paraId="0BAF35E9" w14:textId="77777777" w:rsidR="00AD6548" w:rsidRPr="00070E0B" w:rsidRDefault="00AD6548" w:rsidP="001940F1">
            <w:pPr>
              <w:spacing w:after="0"/>
              <w:rPr>
                <w:sz w:val="16"/>
                <w:szCs w:val="16"/>
              </w:rPr>
            </w:pPr>
            <w:r w:rsidRPr="571BC80D">
              <w:rPr>
                <w:sz w:val="18"/>
                <w:szCs w:val="18"/>
              </w:rPr>
              <w:t>+/- 4.25 in winter</w:t>
            </w:r>
          </w:p>
        </w:tc>
        <w:tc>
          <w:tcPr>
            <w:tcW w:w="637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BB3E0FE" w14:textId="77777777" w:rsidR="00AD6548" w:rsidRPr="00070E0B" w:rsidRDefault="00AD6548" w:rsidP="001940F1">
            <w:pPr>
              <w:spacing w:after="0"/>
              <w:ind w:left="-113"/>
              <w:rPr>
                <w:rFonts w:cstheme="minorHAnsi"/>
                <w:b/>
                <w:bCs/>
                <w:sz w:val="16"/>
                <w:szCs w:val="16"/>
              </w:rPr>
            </w:pPr>
            <w:r w:rsidRPr="00070E0B">
              <w:rPr>
                <w:noProof/>
                <w:lang w:eastAsia="en-GB"/>
              </w:rPr>
              <w:drawing>
                <wp:inline distT="0" distB="0" distL="0" distR="0" wp14:anchorId="68C6314E" wp14:editId="165E5E85">
                  <wp:extent cx="4011930" cy="1828800"/>
                  <wp:effectExtent l="0" t="0" r="7620" b="0"/>
                  <wp:docPr id="9" name="Chart 9">
                    <a:extLst xmlns:a="http://schemas.openxmlformats.org/drawingml/2006/main">
                      <a:ext uri="{FF2B5EF4-FFF2-40B4-BE49-F238E27FC236}">
                        <a16:creationId xmlns:a16="http://schemas.microsoft.com/office/drawing/2014/main" id="{915E54D7-CA1A-49E5-8077-2465CD564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AD6548" w:rsidRPr="00070E0B" w14:paraId="58153006" w14:textId="77777777" w:rsidTr="00AD6548">
        <w:tblPrEx>
          <w:jc w:val="center"/>
          <w:tblInd w:w="0" w:type="dxa"/>
        </w:tblPrEx>
        <w:trPr>
          <w:gridBefore w:val="1"/>
          <w:gridAfter w:val="1"/>
          <w:wBefore w:w="368" w:type="dxa"/>
          <w:wAfter w:w="68" w:type="dxa"/>
          <w:cantSplit/>
          <w:trHeight w:val="3210"/>
          <w:jc w:val="center"/>
        </w:trPr>
        <w:tc>
          <w:tcPr>
            <w:tcW w:w="28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9C9F67A" w14:textId="77777777" w:rsidR="00AD6548" w:rsidRPr="00F47C94" w:rsidRDefault="00AD6548" w:rsidP="001940F1">
            <w:pPr>
              <w:spacing w:after="0"/>
              <w:rPr>
                <w:sz w:val="18"/>
                <w:szCs w:val="18"/>
              </w:rPr>
            </w:pPr>
            <w:r w:rsidRPr="571BC80D">
              <w:rPr>
                <w:b/>
                <w:bCs/>
                <w:sz w:val="18"/>
                <w:szCs w:val="18"/>
              </w:rPr>
              <w:t xml:space="preserve">Balance the supply and demand on the transmission system </w:t>
            </w:r>
          </w:p>
          <w:p w14:paraId="5401A446" w14:textId="77777777" w:rsidR="00AD6548" w:rsidRPr="00070E0B" w:rsidRDefault="00AD6548" w:rsidP="001940F1">
            <w:pPr>
              <w:spacing w:after="0"/>
              <w:rPr>
                <w:sz w:val="16"/>
                <w:szCs w:val="16"/>
              </w:rPr>
            </w:pPr>
            <w:r w:rsidRPr="571BC80D">
              <w:rPr>
                <w:sz w:val="18"/>
                <w:szCs w:val="18"/>
              </w:rPr>
              <w:t xml:space="preserve">The System Operator has products and services that it can procure </w:t>
            </w:r>
            <w:proofErr w:type="gramStart"/>
            <w:r w:rsidRPr="571BC80D">
              <w:rPr>
                <w:sz w:val="18"/>
                <w:szCs w:val="18"/>
              </w:rPr>
              <w:t>in order to</w:t>
            </w:r>
            <w:proofErr w:type="gramEnd"/>
            <w:r w:rsidRPr="571BC80D">
              <w:rPr>
                <w:sz w:val="18"/>
                <w:szCs w:val="18"/>
              </w:rPr>
              <w:t xml:space="preserve"> balance the electricity network. </w:t>
            </w:r>
            <w:r>
              <w:rPr>
                <w:sz w:val="18"/>
                <w:szCs w:val="18"/>
              </w:rPr>
              <w:t>W</w:t>
            </w:r>
            <w:r w:rsidRPr="00862051">
              <w:rPr>
                <w:sz w:val="18"/>
                <w:szCs w:val="18"/>
              </w:rPr>
              <w:t xml:space="preserve">e spent £153m less than the target balancing the system. The NGET share of this was £15.3m (10%) but under the terms of the scheme </w:t>
            </w:r>
            <w:r>
              <w:rPr>
                <w:sz w:val="18"/>
                <w:szCs w:val="18"/>
              </w:rPr>
              <w:t>it</w:t>
            </w:r>
            <w:r w:rsidRPr="00F16B92">
              <w:rPr>
                <w:sz w:val="18"/>
                <w:szCs w:val="18"/>
              </w:rPr>
              <w:t xml:space="preserve"> </w:t>
            </w:r>
            <w:r w:rsidRPr="00862051">
              <w:rPr>
                <w:sz w:val="18"/>
                <w:szCs w:val="18"/>
              </w:rPr>
              <w:t>is capped at £10m</w:t>
            </w:r>
            <w:r>
              <w:rPr>
                <w:sz w:val="18"/>
                <w:szCs w:val="18"/>
              </w:rPr>
              <w:t xml:space="preserve">. The </w:t>
            </w:r>
            <w:r w:rsidRPr="00862051">
              <w:rPr>
                <w:sz w:val="18"/>
                <w:szCs w:val="18"/>
              </w:rPr>
              <w:t xml:space="preserve">remaining £143m </w:t>
            </w:r>
            <w:r>
              <w:rPr>
                <w:sz w:val="18"/>
                <w:szCs w:val="18"/>
              </w:rPr>
              <w:t>goes</w:t>
            </w:r>
            <w:r w:rsidRPr="00862051">
              <w:rPr>
                <w:sz w:val="18"/>
                <w:szCs w:val="18"/>
              </w:rPr>
              <w:t xml:space="preserve"> to customers</w:t>
            </w:r>
            <w:r>
              <w:rPr>
                <w:sz w:val="18"/>
                <w:szCs w:val="18"/>
              </w:rPr>
              <w:t>, further reducing bill impact</w:t>
            </w:r>
          </w:p>
        </w:tc>
        <w:tc>
          <w:tcPr>
            <w:tcW w:w="14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E07F84E" w14:textId="77777777" w:rsidR="00AD6548" w:rsidRPr="00070E0B" w:rsidRDefault="00AD6548" w:rsidP="001940F1">
            <w:pPr>
              <w:spacing w:after="0"/>
              <w:rPr>
                <w:sz w:val="16"/>
                <w:szCs w:val="16"/>
              </w:rPr>
            </w:pPr>
            <w:r>
              <w:rPr>
                <w:sz w:val="18"/>
                <w:szCs w:val="18"/>
              </w:rPr>
              <w:t>Agreed t</w:t>
            </w:r>
            <w:r w:rsidRPr="571BC80D">
              <w:rPr>
                <w:sz w:val="18"/>
                <w:szCs w:val="18"/>
              </w:rPr>
              <w:t>arget</w:t>
            </w:r>
            <w:r>
              <w:rPr>
                <w:sz w:val="18"/>
                <w:szCs w:val="18"/>
              </w:rPr>
              <w:t xml:space="preserve"> (blue bar)</w:t>
            </w:r>
            <w:r w:rsidRPr="571BC80D">
              <w:rPr>
                <w:sz w:val="18"/>
                <w:szCs w:val="18"/>
              </w:rPr>
              <w:t xml:space="preserve">, sharing factor and caps and collars </w:t>
            </w:r>
            <w:r>
              <w:rPr>
                <w:sz w:val="18"/>
                <w:szCs w:val="18"/>
              </w:rPr>
              <w:t xml:space="preserve">which </w:t>
            </w:r>
            <w:r w:rsidRPr="571BC80D">
              <w:rPr>
                <w:sz w:val="18"/>
                <w:szCs w:val="18"/>
              </w:rPr>
              <w:t>vary from year to year</w:t>
            </w:r>
            <w:r>
              <w:rPr>
                <w:sz w:val="18"/>
                <w:szCs w:val="18"/>
              </w:rPr>
              <w:t>.</w:t>
            </w:r>
          </w:p>
        </w:tc>
        <w:tc>
          <w:tcPr>
            <w:tcW w:w="637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CDB13C" w14:textId="77777777" w:rsidR="00AD6548" w:rsidRPr="00070E0B" w:rsidRDefault="00AD6548" w:rsidP="001940F1">
            <w:pPr>
              <w:spacing w:after="0"/>
              <w:ind w:left="-97"/>
              <w:jc w:val="center"/>
              <w:rPr>
                <w:rFonts w:cstheme="minorHAnsi"/>
                <w:b/>
                <w:bCs/>
                <w:sz w:val="16"/>
                <w:szCs w:val="16"/>
              </w:rPr>
            </w:pPr>
            <w:r>
              <w:rPr>
                <w:noProof/>
                <w:lang w:eastAsia="en-GB"/>
              </w:rPr>
              <w:drawing>
                <wp:inline distT="0" distB="0" distL="0" distR="0" wp14:anchorId="3D5CDE59" wp14:editId="2ECAC17E">
                  <wp:extent cx="4026090" cy="2115820"/>
                  <wp:effectExtent l="0" t="0" r="12700" b="17780"/>
                  <wp:docPr id="3" name="Chart 3">
                    <a:extLst xmlns:a="http://schemas.openxmlformats.org/drawingml/2006/main">
                      <a:ext uri="{FF2B5EF4-FFF2-40B4-BE49-F238E27FC236}">
                        <a16:creationId xmlns:a16="http://schemas.microsoft.com/office/drawing/2014/main" id="{C563D070-A767-4DF5-ADF5-2C699AD1E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AD6548" w:rsidRPr="00751145" w14:paraId="18E9671C" w14:textId="77777777" w:rsidTr="00AD6548">
        <w:tblPrEx>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2"/>
          <w:wBefore w:w="436" w:type="dxa"/>
          <w:trHeight w:val="340"/>
          <w:jc w:val="center"/>
        </w:trPr>
        <w:tc>
          <w:tcPr>
            <w:tcW w:w="10622"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6C0A" w:themeFill="accent6" w:themeFillShade="BF"/>
            <w:tcMar>
              <w:top w:w="15" w:type="dxa"/>
              <w:left w:w="47" w:type="dxa"/>
              <w:bottom w:w="0" w:type="dxa"/>
              <w:right w:w="47" w:type="dxa"/>
            </w:tcMar>
            <w:vAlign w:val="center"/>
          </w:tcPr>
          <w:p w14:paraId="3FE03F4E" w14:textId="77777777" w:rsidR="00AD6548" w:rsidRPr="00751145" w:rsidRDefault="00AD6548" w:rsidP="001940F1">
            <w:pPr>
              <w:spacing w:after="0"/>
              <w:rPr>
                <w:rFonts w:eastAsia="Times New Roman"/>
                <w:b/>
                <w:bCs/>
                <w:color w:val="FFFFFF" w:themeColor="background1"/>
                <w:sz w:val="16"/>
                <w:szCs w:val="16"/>
                <w:lang w:eastAsia="en-GB"/>
              </w:rPr>
            </w:pPr>
            <w:r w:rsidRPr="7354260B">
              <w:rPr>
                <w:rFonts w:eastAsia="Times New Roman"/>
                <w:b/>
                <w:bCs/>
                <w:color w:val="FFFFFF" w:themeColor="background1"/>
                <w:kern w:val="24"/>
                <w:sz w:val="16"/>
                <w:szCs w:val="16"/>
                <w:lang w:eastAsia="en-GB"/>
              </w:rPr>
              <w:t>Customers and Stakeholders</w:t>
            </w:r>
          </w:p>
        </w:tc>
      </w:tr>
      <w:tr w:rsidR="00AD6548" w:rsidRPr="0096061C" w14:paraId="3F36B01A" w14:textId="77777777" w:rsidTr="00AD6548">
        <w:tblPrEx>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PrEx>
        <w:trPr>
          <w:gridBefore w:val="2"/>
          <w:wBefore w:w="436" w:type="dxa"/>
          <w:trHeight w:val="717"/>
          <w:jc w:val="center"/>
        </w:trPr>
        <w:tc>
          <w:tcPr>
            <w:tcW w:w="296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D25537F" w14:textId="77777777" w:rsidR="00AD6548" w:rsidRPr="006B13A9" w:rsidRDefault="00AD6548" w:rsidP="001940F1">
            <w:pPr>
              <w:spacing w:after="0"/>
              <w:rPr>
                <w:rFonts w:eastAsia="Times New Roman"/>
                <w:sz w:val="18"/>
                <w:szCs w:val="18"/>
                <w:lang w:eastAsia="en-GB"/>
              </w:rPr>
            </w:pPr>
            <w:r w:rsidRPr="006B13A9">
              <w:rPr>
                <w:rFonts w:eastAsia="Times New Roman"/>
                <w:b/>
                <w:bCs/>
                <w:kern w:val="24"/>
                <w:sz w:val="18"/>
                <w:szCs w:val="18"/>
                <w:lang w:eastAsia="en-GB"/>
              </w:rPr>
              <w:lastRenderedPageBreak/>
              <w:t>Measure the way that we have satisfied our customers and stakeholders</w:t>
            </w:r>
          </w:p>
          <w:p w14:paraId="2C00FD10" w14:textId="77777777" w:rsidR="00AD6548" w:rsidRPr="00AB7D7F" w:rsidRDefault="00AD6548" w:rsidP="001940F1">
            <w:pPr>
              <w:spacing w:after="0"/>
              <w:rPr>
                <w:rFonts w:eastAsia="Calibri"/>
                <w:sz w:val="18"/>
                <w:szCs w:val="18"/>
                <w:lang w:eastAsia="en-GB"/>
              </w:rPr>
            </w:pPr>
            <w:r w:rsidRPr="00AB7D7F">
              <w:rPr>
                <w:rFonts w:eastAsia="Calibri"/>
                <w:kern w:val="24"/>
                <w:sz w:val="18"/>
                <w:szCs w:val="18"/>
                <w:lang w:eastAsia="en-GB"/>
              </w:rPr>
              <w:t xml:space="preserve">We commission independent surveys with our customers and stakeholders which gives an annual score of their overall satisfaction with the way that we engage with them and the service we deliver. </w:t>
            </w:r>
          </w:p>
          <w:p w14:paraId="3CF9250E" w14:textId="77777777" w:rsidR="00AD6548" w:rsidRPr="0096061C" w:rsidRDefault="00AD6548" w:rsidP="001940F1">
            <w:pPr>
              <w:spacing w:after="0"/>
              <w:rPr>
                <w:rFonts w:eastAsia="Times New Roman"/>
                <w:sz w:val="16"/>
                <w:szCs w:val="16"/>
                <w:lang w:eastAsia="en-GB"/>
              </w:rPr>
            </w:pPr>
            <w:r w:rsidRPr="00AB7D7F">
              <w:rPr>
                <w:rFonts w:eastAsia="Calibri"/>
                <w:kern w:val="24"/>
                <w:sz w:val="18"/>
                <w:szCs w:val="18"/>
                <w:lang w:eastAsia="en-GB"/>
              </w:rPr>
              <w:t>This year we have seen a noticeable increase in the scores compared to both last year’s score and the longer-term average score</w:t>
            </w:r>
            <w:r>
              <w:rPr>
                <w:rFonts w:eastAsia="Calibri"/>
                <w:kern w:val="24"/>
                <w:sz w:val="18"/>
                <w:szCs w:val="18"/>
                <w:lang w:eastAsia="en-GB"/>
              </w:rPr>
              <w:t>. This</w:t>
            </w:r>
            <w:r w:rsidRPr="00AB7D7F">
              <w:rPr>
                <w:rFonts w:eastAsia="Calibri"/>
                <w:kern w:val="24"/>
                <w:sz w:val="18"/>
                <w:szCs w:val="18"/>
                <w:lang w:eastAsia="en-GB"/>
              </w:rPr>
              <w:t xml:space="preserve"> reflects the increased focus that we have applied in this area.</w:t>
            </w:r>
          </w:p>
        </w:tc>
        <w:tc>
          <w:tcPr>
            <w:tcW w:w="127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D0F668C" w14:textId="77777777" w:rsidR="00AD6548" w:rsidRDefault="00AD6548" w:rsidP="001940F1">
            <w:pPr>
              <w:spacing w:after="0"/>
              <w:jc w:val="center"/>
              <w:rPr>
                <w:rFonts w:eastAsia="Times New Roman"/>
                <w:kern w:val="24"/>
                <w:sz w:val="20"/>
                <w:szCs w:val="20"/>
                <w:lang w:eastAsia="en-GB"/>
              </w:rPr>
            </w:pPr>
            <w:r>
              <w:rPr>
                <w:rFonts w:eastAsia="Times New Roman"/>
                <w:kern w:val="24"/>
                <w:sz w:val="20"/>
                <w:szCs w:val="20"/>
                <w:lang w:eastAsia="en-GB"/>
              </w:rPr>
              <w:t>Customer survey target 6.9</w:t>
            </w:r>
          </w:p>
          <w:p w14:paraId="12DDE83F" w14:textId="77777777" w:rsidR="00AD6548" w:rsidRDefault="00AD6548" w:rsidP="001940F1">
            <w:pPr>
              <w:spacing w:after="0"/>
              <w:jc w:val="center"/>
              <w:rPr>
                <w:rFonts w:eastAsia="Times New Roman"/>
                <w:kern w:val="24"/>
                <w:sz w:val="20"/>
                <w:szCs w:val="20"/>
                <w:lang w:eastAsia="en-GB"/>
              </w:rPr>
            </w:pPr>
          </w:p>
          <w:p w14:paraId="66237521" w14:textId="77777777" w:rsidR="00AD6548" w:rsidRPr="0096061C" w:rsidRDefault="00AD6548" w:rsidP="001940F1">
            <w:pPr>
              <w:spacing w:after="0"/>
              <w:jc w:val="center"/>
              <w:rPr>
                <w:rFonts w:eastAsia="Times New Roman"/>
                <w:sz w:val="16"/>
                <w:szCs w:val="16"/>
                <w:lang w:eastAsia="en-GB"/>
              </w:rPr>
            </w:pPr>
            <w:r>
              <w:rPr>
                <w:rFonts w:eastAsia="Times New Roman"/>
                <w:kern w:val="24"/>
                <w:sz w:val="20"/>
                <w:szCs w:val="20"/>
                <w:lang w:eastAsia="en-GB"/>
              </w:rPr>
              <w:t>Stakeholder survey target 7.4</w:t>
            </w:r>
            <w:r w:rsidRPr="7354260B">
              <w:rPr>
                <w:rFonts w:eastAsia="Times New Roman"/>
                <w:kern w:val="24"/>
                <w:sz w:val="20"/>
                <w:szCs w:val="20"/>
                <w:lang w:eastAsia="en-GB"/>
              </w:rPr>
              <w:t xml:space="preserve"> </w:t>
            </w:r>
          </w:p>
        </w:tc>
        <w:tc>
          <w:tcPr>
            <w:tcW w:w="637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9514E53" w14:textId="77777777" w:rsidR="00AD6548" w:rsidRPr="0096061C" w:rsidRDefault="00AD6548" w:rsidP="001940F1">
            <w:pPr>
              <w:spacing w:after="0"/>
              <w:rPr>
                <w:rFonts w:eastAsia="Times New Roman" w:cstheme="minorHAnsi"/>
                <w:b/>
                <w:bCs/>
                <w:kern w:val="24"/>
                <w:sz w:val="16"/>
                <w:szCs w:val="16"/>
                <w:lang w:eastAsia="en-GB"/>
              </w:rPr>
            </w:pPr>
            <w:r>
              <w:rPr>
                <w:noProof/>
                <w:lang w:eastAsia="en-GB"/>
              </w:rPr>
              <w:drawing>
                <wp:inline distT="0" distB="0" distL="0" distR="0" wp14:anchorId="336DCB5A" wp14:editId="161F079A">
                  <wp:extent cx="4010025" cy="2364740"/>
                  <wp:effectExtent l="0" t="0" r="9525" b="16510"/>
                  <wp:docPr id="13" name="Chart 13">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300EA94B" w14:textId="77777777" w:rsidR="00AD6548" w:rsidRDefault="00AD6548" w:rsidP="00AD6548">
      <w:pPr>
        <w:spacing w:after="0" w:line="360" w:lineRule="auto"/>
        <w:jc w:val="both"/>
      </w:pPr>
    </w:p>
    <w:p w14:paraId="3D815F8A" w14:textId="77777777" w:rsidR="00AD6548" w:rsidRPr="004F3001" w:rsidRDefault="00AD6548" w:rsidP="00AD6548">
      <w:pPr>
        <w:rPr>
          <w:b/>
          <w:bCs/>
        </w:rPr>
      </w:pPr>
      <w:r w:rsidRPr="571BC80D">
        <w:rPr>
          <w:b/>
          <w:bCs/>
        </w:rPr>
        <w:t xml:space="preserve">Innovation – </w:t>
      </w:r>
      <w:r>
        <w:rPr>
          <w:b/>
          <w:bCs/>
        </w:rPr>
        <w:t>finding a better way</w:t>
      </w:r>
    </w:p>
    <w:p w14:paraId="273AFAF0" w14:textId="77777777" w:rsidR="00AD6548" w:rsidRDefault="00AD6548" w:rsidP="00AD6548">
      <w:pPr>
        <w:spacing w:after="0" w:line="360" w:lineRule="auto"/>
        <w:jc w:val="both"/>
      </w:pPr>
      <w:r>
        <w:t xml:space="preserve">The pace of change in the energy industry shows no sign of letting up and we </w:t>
      </w:r>
      <w:proofErr w:type="spellStart"/>
      <w:r>
        <w:t>recognise</w:t>
      </w:r>
      <w:proofErr w:type="spellEnd"/>
      <w:r>
        <w:t xml:space="preserve"> that we have a crucial role to play in making sure the UK has a sustainable energy future. Innovation is at the forefront of that challenge.</w:t>
      </w:r>
    </w:p>
    <w:p w14:paraId="1CB99FCF" w14:textId="77777777" w:rsidR="00AD6548" w:rsidRDefault="00AD6548" w:rsidP="00AD6548">
      <w:pPr>
        <w:spacing w:after="0" w:line="360" w:lineRule="auto"/>
        <w:jc w:val="both"/>
      </w:pPr>
    </w:p>
    <w:p w14:paraId="18347AC7" w14:textId="77777777" w:rsidR="00AD6548" w:rsidRDefault="00AD6548" w:rsidP="00AD6548">
      <w:pPr>
        <w:spacing w:after="0" w:line="360" w:lineRule="auto"/>
        <w:jc w:val="both"/>
      </w:pPr>
      <w:r>
        <w:t>As part of RIIO, Ofgem introduced two new funding mechanisms for network innovation; the Network Innovation Allowance (NIA) and the Network Innovation Competition (NIC).  Both mechanisms enable us to take forward ground-breaking new ideas and technologies that have the potential to make a tangible difference to customers and communities.</w:t>
      </w:r>
    </w:p>
    <w:p w14:paraId="3056EF13" w14:textId="77777777" w:rsidR="00AD6548" w:rsidRDefault="00AD6548" w:rsidP="00AD6548">
      <w:pPr>
        <w:spacing w:after="0" w:line="360" w:lineRule="auto"/>
        <w:jc w:val="both"/>
      </w:pPr>
    </w:p>
    <w:p w14:paraId="121E6A05" w14:textId="77777777" w:rsidR="00AD6548" w:rsidRDefault="00AD6548" w:rsidP="00AD6548">
      <w:pPr>
        <w:spacing w:after="0" w:line="360" w:lineRule="auto"/>
        <w:jc w:val="both"/>
      </w:pPr>
      <w:r>
        <w:t>The energy landscape across Great Britain continues to change, particularly with the growth of renewable and small scale generation. Our portfolio of projects seeks to address these changes and to anticipate the challenges that lie ahead. The Power Potential project, is an example of how we’re seeking to harness distributed energy sources such as wind turbines and solar panels in a new way.</w:t>
      </w:r>
    </w:p>
    <w:p w14:paraId="33D60B8C" w14:textId="77777777" w:rsidR="00AD6548" w:rsidRDefault="00AD6548" w:rsidP="00AD6548">
      <w:pPr>
        <w:spacing w:after="0" w:line="360" w:lineRule="auto"/>
        <w:jc w:val="both"/>
      </w:pPr>
      <w:r>
        <w:t>Together with UK Power Networks (UKPN) we’re using £9.5m of innovation funding to explore whether sources of generation connected to the distribution network can be used to provide services such as dynamic voltage control. By 2050, the project could result in cumulative savings for consumers of up to £412m.</w:t>
      </w:r>
    </w:p>
    <w:p w14:paraId="3585C982" w14:textId="77777777" w:rsidR="00AD6548" w:rsidRDefault="00AD6548" w:rsidP="00AD6548">
      <w:pPr>
        <w:spacing w:after="0" w:line="360" w:lineRule="auto"/>
        <w:jc w:val="both"/>
      </w:pPr>
    </w:p>
    <w:p w14:paraId="68905D49" w14:textId="77777777" w:rsidR="00AD6548" w:rsidRPr="00F82D8D" w:rsidRDefault="00AD6548" w:rsidP="00AD6548">
      <w:pPr>
        <w:spacing w:after="0" w:line="360" w:lineRule="auto"/>
        <w:rPr>
          <w:b/>
          <w:bCs/>
        </w:rPr>
      </w:pPr>
      <w:r>
        <w:rPr>
          <w:b/>
          <w:bCs/>
        </w:rPr>
        <w:t>Financial</w:t>
      </w:r>
      <w:r w:rsidRPr="571BC80D">
        <w:rPr>
          <w:b/>
          <w:bCs/>
        </w:rPr>
        <w:t xml:space="preserve"> Performance</w:t>
      </w:r>
    </w:p>
    <w:p w14:paraId="0557AA4A" w14:textId="77777777" w:rsidR="00AD6548" w:rsidRDefault="00AD6548" w:rsidP="00AD6548">
      <w:pPr>
        <w:spacing w:before="100" w:beforeAutospacing="1" w:after="360" w:line="360" w:lineRule="auto"/>
      </w:pPr>
      <w:r>
        <w:lastRenderedPageBreak/>
        <w:t xml:space="preserve">Our SO controllable costs have increased in 2017/18 from £112m to £119.4m against allowances of £119m, with the biggest driver for this £7m increase in costs being the additional work undertaken to achieve legal separation between the SO and the TO. </w:t>
      </w:r>
    </w:p>
    <w:p w14:paraId="0F2C9A86" w14:textId="77777777" w:rsidR="00AD6548" w:rsidRDefault="00AD6548" w:rsidP="00AD6548">
      <w:pPr>
        <w:spacing w:before="100" w:beforeAutospacing="1" w:after="360" w:line="360" w:lineRule="auto"/>
      </w:pPr>
      <w:r w:rsidRPr="00AD6548">
        <w:drawing>
          <wp:inline distT="0" distB="0" distL="0" distR="0" wp14:anchorId="3F73527F" wp14:editId="4630AAC7">
            <wp:extent cx="5943600" cy="19018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01843"/>
                    </a:xfrm>
                    <a:prstGeom prst="rect">
                      <a:avLst/>
                    </a:prstGeom>
                    <a:noFill/>
                    <a:ln>
                      <a:noFill/>
                    </a:ln>
                  </pic:spPr>
                </pic:pic>
              </a:graphicData>
            </a:graphic>
          </wp:inline>
        </w:drawing>
      </w:r>
    </w:p>
    <w:p w14:paraId="3D30BEA7" w14:textId="77777777" w:rsidR="00AD6548" w:rsidRPr="00D37D16" w:rsidRDefault="00AD6548" w:rsidP="00AD6548">
      <w:pPr>
        <w:spacing w:after="0" w:line="360" w:lineRule="auto"/>
        <w:jc w:val="both"/>
      </w:pPr>
    </w:p>
    <w:p w14:paraId="120EDA72" w14:textId="77777777" w:rsidR="00AD6548" w:rsidRDefault="00AD6548" w:rsidP="00AD6548">
      <w:pPr>
        <w:spacing w:line="360" w:lineRule="auto"/>
        <w:jc w:val="both"/>
      </w:pPr>
    </w:p>
    <w:p w14:paraId="5EDF0FB8" w14:textId="77777777" w:rsidR="00AD6548" w:rsidRDefault="00AD6548">
      <w:bookmarkStart w:id="0" w:name="_GoBack"/>
      <w:bookmarkEnd w:id="0"/>
    </w:p>
    <w:sectPr w:rsidR="00AD6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255C0"/>
    <w:multiLevelType w:val="hybridMultilevel"/>
    <w:tmpl w:val="F168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48"/>
    <w:rsid w:val="00124727"/>
    <w:rsid w:val="00AD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8FE8"/>
  <w15:chartTrackingRefBased/>
  <w15:docId w15:val="{D63E1682-BFF2-4F45-8BD0-F9634961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548"/>
    <w:pPr>
      <w:spacing w:after="0" w:line="240" w:lineRule="auto"/>
      <w:ind w:left="720"/>
      <w:contextualSpacing/>
    </w:pPr>
    <w:rPr>
      <w:rFonts w:ascii="Verdana" w:eastAsia="Times New Roman"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9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teams.nationalgrid.com/sites/RRPDAG/RRP%20Regulatory%20Reporting%20Pack/1.%20Submissions/12.%202017%2018/05.%20Narrative/ET%20Narrative/Performance%20Scoreca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teams.nationalgrid.com/sites/RRPDAG/RRP%20Regulatory%20Reporting%20Pack/1.%20Submissions/12.%202017%2018/05.%20Narrative/ET%20Narrative/Copy%20of%20Performance%20Scoreca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GB" sz="1200">
                <a:solidFill>
                  <a:sysClr val="windowText" lastClr="000000"/>
                </a:solidFill>
              </a:rPr>
              <a:t>Wind</a:t>
            </a:r>
            <a:r>
              <a:rPr lang="en-GB" sz="1200" baseline="0">
                <a:solidFill>
                  <a:sysClr val="windowText" lastClr="000000"/>
                </a:solidFill>
              </a:rPr>
              <a:t> forecasting performance</a:t>
            </a:r>
            <a:endParaRPr lang="en-GB" sz="1200">
              <a:solidFill>
                <a:sysClr val="windowText" lastClr="000000"/>
              </a:solidFill>
            </a:endParaRPr>
          </a:p>
        </c:rich>
      </c:tx>
      <c:layout>
        <c:manualLayout>
          <c:xMode val="edge"/>
          <c:yMode val="edge"/>
          <c:x val="0.29585311807534032"/>
          <c:y val="1.388888888888888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342827516930754"/>
          <c:y val="4.5620336783744726E-2"/>
          <c:w val="0.86601618547681536"/>
          <c:h val="0.64369872305287679"/>
        </c:manualLayout>
      </c:layout>
      <c:barChart>
        <c:barDir val="col"/>
        <c:grouping val="clustered"/>
        <c:varyColors val="0"/>
        <c:ser>
          <c:idx val="0"/>
          <c:order val="0"/>
          <c:tx>
            <c:strRef>
              <c:f>Sheet1!$C$105</c:f>
              <c:strCache>
                <c:ptCount val="1"/>
                <c:pt idx="0">
                  <c:v>Summer Actual</c:v>
                </c:pt>
              </c:strCache>
            </c:strRef>
          </c:tx>
          <c:spPr>
            <a:solidFill>
              <a:schemeClr val="accent2">
                <a:lumMod val="60000"/>
                <a:lumOff val="40000"/>
              </a:schemeClr>
            </a:solidFill>
            <a:ln>
              <a:noFill/>
            </a:ln>
            <a:effectLst/>
          </c:spPr>
          <c:invertIfNegative val="0"/>
          <c:cat>
            <c:strRef>
              <c:f>Sheet1!$D$104:$H$104</c:f>
              <c:strCache>
                <c:ptCount val="5"/>
                <c:pt idx="0">
                  <c:v>2013/14</c:v>
                </c:pt>
                <c:pt idx="1">
                  <c:v>2014/15</c:v>
                </c:pt>
                <c:pt idx="2">
                  <c:v>2015/16</c:v>
                </c:pt>
                <c:pt idx="3">
                  <c:v>2016/17</c:v>
                </c:pt>
                <c:pt idx="4">
                  <c:v>2017/18</c:v>
                </c:pt>
              </c:strCache>
            </c:strRef>
          </c:cat>
          <c:val>
            <c:numRef>
              <c:f>Sheet1!$D$105:$H$105</c:f>
              <c:numCache>
                <c:formatCode>0.00%</c:formatCode>
                <c:ptCount val="5"/>
                <c:pt idx="0">
                  <c:v>7.1000000000000004E-3</c:v>
                </c:pt>
                <c:pt idx="1">
                  <c:v>7.1000000000000004E-3</c:v>
                </c:pt>
                <c:pt idx="2">
                  <c:v>3.9100000000000003E-2</c:v>
                </c:pt>
                <c:pt idx="3">
                  <c:v>3.8600000000000002E-2</c:v>
                </c:pt>
                <c:pt idx="4">
                  <c:v>3.8600000000000002E-2</c:v>
                </c:pt>
              </c:numCache>
            </c:numRef>
          </c:val>
          <c:extLst>
            <c:ext xmlns:c16="http://schemas.microsoft.com/office/drawing/2014/chart" uri="{C3380CC4-5D6E-409C-BE32-E72D297353CC}">
              <c16:uniqueId val="{00000000-F270-4068-91BB-C1DA31BB07E2}"/>
            </c:ext>
          </c:extLst>
        </c:ser>
        <c:ser>
          <c:idx val="1"/>
          <c:order val="1"/>
          <c:tx>
            <c:strRef>
              <c:f>Sheet1!$C$106</c:f>
              <c:strCache>
                <c:ptCount val="1"/>
                <c:pt idx="0">
                  <c:v>Winter Actual</c:v>
                </c:pt>
              </c:strCache>
            </c:strRef>
          </c:tx>
          <c:spPr>
            <a:pattFill prst="wdUpDiag">
              <a:fgClr>
                <a:schemeClr val="accent1">
                  <a:lumMod val="60000"/>
                  <a:lumOff val="40000"/>
                </a:schemeClr>
              </a:fgClr>
              <a:bgClr>
                <a:schemeClr val="accent5">
                  <a:lumMod val="40000"/>
                  <a:lumOff val="60000"/>
                </a:schemeClr>
              </a:bgClr>
            </a:pattFill>
            <a:ln>
              <a:solidFill>
                <a:srgbClr val="00B0F0"/>
              </a:solidFill>
            </a:ln>
            <a:effectLst/>
          </c:spPr>
          <c:invertIfNegative val="0"/>
          <c:cat>
            <c:strRef>
              <c:f>Sheet1!$D$104:$H$104</c:f>
              <c:strCache>
                <c:ptCount val="5"/>
                <c:pt idx="0">
                  <c:v>2013/14</c:v>
                </c:pt>
                <c:pt idx="1">
                  <c:v>2014/15</c:v>
                </c:pt>
                <c:pt idx="2">
                  <c:v>2015/16</c:v>
                </c:pt>
                <c:pt idx="3">
                  <c:v>2016/17</c:v>
                </c:pt>
                <c:pt idx="4">
                  <c:v>2017/18</c:v>
                </c:pt>
              </c:strCache>
            </c:strRef>
          </c:cat>
          <c:val>
            <c:numRef>
              <c:f>Sheet1!$D$106:$H$106</c:f>
              <c:numCache>
                <c:formatCode>0.00%</c:formatCode>
                <c:ptCount val="5"/>
                <c:pt idx="0">
                  <c:v>2.0500000000000001E-2</c:v>
                </c:pt>
                <c:pt idx="1">
                  <c:v>2.0500000000000001E-2</c:v>
                </c:pt>
                <c:pt idx="2">
                  <c:v>4.8599999999999997E-2</c:v>
                </c:pt>
                <c:pt idx="3">
                  <c:v>4.2799999999999998E-2</c:v>
                </c:pt>
                <c:pt idx="4">
                  <c:v>4.2799999999999998E-2</c:v>
                </c:pt>
              </c:numCache>
            </c:numRef>
          </c:val>
          <c:extLst>
            <c:ext xmlns:c16="http://schemas.microsoft.com/office/drawing/2014/chart" uri="{C3380CC4-5D6E-409C-BE32-E72D297353CC}">
              <c16:uniqueId val="{00000001-F270-4068-91BB-C1DA31BB07E2}"/>
            </c:ext>
          </c:extLst>
        </c:ser>
        <c:dLbls>
          <c:showLegendKey val="0"/>
          <c:showVal val="0"/>
          <c:showCatName val="0"/>
          <c:showSerName val="0"/>
          <c:showPercent val="0"/>
          <c:showBubbleSize val="0"/>
        </c:dLbls>
        <c:gapWidth val="406"/>
        <c:axId val="385060944"/>
        <c:axId val="385061272"/>
      </c:barChart>
      <c:lineChart>
        <c:grouping val="standard"/>
        <c:varyColors val="0"/>
        <c:ser>
          <c:idx val="2"/>
          <c:order val="2"/>
          <c:tx>
            <c:strRef>
              <c:f>Sheet1!$C$107</c:f>
              <c:strCache>
                <c:ptCount val="1"/>
                <c:pt idx="0">
                  <c:v>Summer Target</c:v>
                </c:pt>
              </c:strCache>
            </c:strRef>
          </c:tx>
          <c:spPr>
            <a:ln w="28575" cap="rnd">
              <a:solidFill>
                <a:srgbClr val="FF0000"/>
              </a:solidFill>
              <a:round/>
            </a:ln>
            <a:effectLst/>
          </c:spPr>
          <c:marker>
            <c:symbol val="none"/>
          </c:marker>
          <c:cat>
            <c:strRef>
              <c:f>Sheet1!$D$104:$H$104</c:f>
              <c:strCache>
                <c:ptCount val="5"/>
                <c:pt idx="0">
                  <c:v>2013/14</c:v>
                </c:pt>
                <c:pt idx="1">
                  <c:v>2014/15</c:v>
                </c:pt>
                <c:pt idx="2">
                  <c:v>2015/16</c:v>
                </c:pt>
                <c:pt idx="3">
                  <c:v>2016/17</c:v>
                </c:pt>
                <c:pt idx="4">
                  <c:v>2017/18</c:v>
                </c:pt>
              </c:strCache>
            </c:strRef>
          </c:cat>
          <c:val>
            <c:numRef>
              <c:f>Sheet1!$D$107:$H$107</c:f>
              <c:numCache>
                <c:formatCode>0.00%</c:formatCode>
                <c:ptCount val="5"/>
                <c:pt idx="0">
                  <c:v>4.7500000000000001E-2</c:v>
                </c:pt>
                <c:pt idx="1">
                  <c:v>4.7500000000000001E-2</c:v>
                </c:pt>
                <c:pt idx="2">
                  <c:v>3.5000000000000003E-2</c:v>
                </c:pt>
                <c:pt idx="3">
                  <c:v>3.5000000000000003E-2</c:v>
                </c:pt>
                <c:pt idx="4">
                  <c:v>3.5000000000000003E-2</c:v>
                </c:pt>
              </c:numCache>
            </c:numRef>
          </c:val>
          <c:smooth val="0"/>
          <c:extLst>
            <c:ext xmlns:c16="http://schemas.microsoft.com/office/drawing/2014/chart" uri="{C3380CC4-5D6E-409C-BE32-E72D297353CC}">
              <c16:uniqueId val="{00000002-F270-4068-91BB-C1DA31BB07E2}"/>
            </c:ext>
          </c:extLst>
        </c:ser>
        <c:ser>
          <c:idx val="3"/>
          <c:order val="3"/>
          <c:tx>
            <c:strRef>
              <c:f>Sheet1!$C$108</c:f>
              <c:strCache>
                <c:ptCount val="1"/>
                <c:pt idx="0">
                  <c:v>Winter Target</c:v>
                </c:pt>
              </c:strCache>
            </c:strRef>
          </c:tx>
          <c:spPr>
            <a:ln w="28575" cap="rnd">
              <a:solidFill>
                <a:srgbClr val="00B0F0"/>
              </a:solidFill>
              <a:prstDash val="sysDash"/>
              <a:round/>
            </a:ln>
            <a:effectLst/>
          </c:spPr>
          <c:marker>
            <c:symbol val="none"/>
          </c:marker>
          <c:cat>
            <c:strRef>
              <c:f>Sheet1!$D$104:$H$104</c:f>
              <c:strCache>
                <c:ptCount val="5"/>
                <c:pt idx="0">
                  <c:v>2013/14</c:v>
                </c:pt>
                <c:pt idx="1">
                  <c:v>2014/15</c:v>
                </c:pt>
                <c:pt idx="2">
                  <c:v>2015/16</c:v>
                </c:pt>
                <c:pt idx="3">
                  <c:v>2016/17</c:v>
                </c:pt>
                <c:pt idx="4">
                  <c:v>2017/18</c:v>
                </c:pt>
              </c:strCache>
            </c:strRef>
          </c:cat>
          <c:val>
            <c:numRef>
              <c:f>Sheet1!$D$108:$H$108</c:f>
              <c:numCache>
                <c:formatCode>0.0%</c:formatCode>
                <c:ptCount val="5"/>
                <c:pt idx="0">
                  <c:v>5.9900000000000002E-2</c:v>
                </c:pt>
                <c:pt idx="1">
                  <c:v>5.9900000000000002E-2</c:v>
                </c:pt>
                <c:pt idx="2" formatCode="0.00%">
                  <c:v>4.2500000000000003E-2</c:v>
                </c:pt>
                <c:pt idx="3" formatCode="0.00%">
                  <c:v>4.2500000000000003E-2</c:v>
                </c:pt>
                <c:pt idx="4" formatCode="0.00%">
                  <c:v>4.2500000000000003E-2</c:v>
                </c:pt>
              </c:numCache>
            </c:numRef>
          </c:val>
          <c:smooth val="0"/>
          <c:extLst>
            <c:ext xmlns:c16="http://schemas.microsoft.com/office/drawing/2014/chart" uri="{C3380CC4-5D6E-409C-BE32-E72D297353CC}">
              <c16:uniqueId val="{00000003-F270-4068-91BB-C1DA31BB07E2}"/>
            </c:ext>
          </c:extLst>
        </c:ser>
        <c:dLbls>
          <c:showLegendKey val="0"/>
          <c:showVal val="0"/>
          <c:showCatName val="0"/>
          <c:showSerName val="0"/>
          <c:showPercent val="0"/>
          <c:showBubbleSize val="0"/>
        </c:dLbls>
        <c:marker val="1"/>
        <c:smooth val="0"/>
        <c:axId val="385060944"/>
        <c:axId val="385061272"/>
      </c:lineChart>
      <c:catAx>
        <c:axId val="3850609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5061272"/>
        <c:crosses val="autoZero"/>
        <c:auto val="1"/>
        <c:lblAlgn val="ctr"/>
        <c:lblOffset val="100"/>
        <c:noMultiLvlLbl val="0"/>
      </c:catAx>
      <c:valAx>
        <c:axId val="385061272"/>
        <c:scaling>
          <c:orientation val="minMax"/>
          <c:max val="7.0000000000000007E-2"/>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85060944"/>
        <c:crosses val="autoZero"/>
        <c:crossBetween val="between"/>
        <c:majorUnit val="1.0000000000000002E-2"/>
      </c:valAx>
      <c:spPr>
        <a:noFill/>
        <a:ln>
          <a:noFill/>
        </a:ln>
        <a:effectLst/>
      </c:spPr>
    </c:plotArea>
    <c:legend>
      <c:legendPos val="b"/>
      <c:layout>
        <c:manualLayout>
          <c:xMode val="edge"/>
          <c:yMode val="edge"/>
          <c:x val="0"/>
          <c:y val="0.840822200595712"/>
          <c:w val="1"/>
          <c:h val="0.159177799404287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CC"/>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SO External Incentive Performance </a:t>
            </a:r>
          </a:p>
        </c:rich>
      </c:tx>
      <c:layout>
        <c:manualLayout>
          <c:xMode val="edge"/>
          <c:yMode val="edge"/>
          <c:x val="0.22729476638764004"/>
          <c:y val="3.60144057623049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33234625393559"/>
          <c:y val="0.13032808748999733"/>
          <c:w val="0.74346683977346772"/>
          <c:h val="0.62388164402895885"/>
        </c:manualLayout>
      </c:layout>
      <c:barChart>
        <c:barDir val="col"/>
        <c:grouping val="clustered"/>
        <c:varyColors val="0"/>
        <c:ser>
          <c:idx val="0"/>
          <c:order val="0"/>
          <c:tx>
            <c:strRef>
              <c:f>Sheet1!$C$122</c:f>
              <c:strCache>
                <c:ptCount val="1"/>
                <c:pt idx="0">
                  <c:v>Target</c:v>
                </c:pt>
              </c:strCache>
            </c:strRef>
          </c:tx>
          <c:spPr>
            <a:solidFill>
              <a:schemeClr val="tx2">
                <a:lumMod val="40000"/>
                <a:lumOff val="60000"/>
              </a:schemeClr>
            </a:solidFill>
            <a:ln>
              <a:noFill/>
            </a:ln>
            <a:effectLst/>
          </c:spPr>
          <c:invertIfNegative val="0"/>
          <c:cat>
            <c:strRef>
              <c:f>Sheet1!$D$121:$H$121</c:f>
              <c:strCache>
                <c:ptCount val="5"/>
                <c:pt idx="0">
                  <c:v>2013/14</c:v>
                </c:pt>
                <c:pt idx="1">
                  <c:v>2014/15</c:v>
                </c:pt>
                <c:pt idx="2">
                  <c:v>2015/16</c:v>
                </c:pt>
                <c:pt idx="3">
                  <c:v>2016/17</c:v>
                </c:pt>
                <c:pt idx="4">
                  <c:v>2017/18</c:v>
                </c:pt>
              </c:strCache>
            </c:strRef>
          </c:cat>
          <c:val>
            <c:numRef>
              <c:f>Sheet1!$D$122:$H$122</c:f>
              <c:numCache>
                <c:formatCode>_-"£"* #,##0_-;\-"£"* #,##0_-;_-"£"* "-"??_-;_-@_-</c:formatCode>
                <c:ptCount val="5"/>
                <c:pt idx="0">
                  <c:v>960</c:v>
                </c:pt>
                <c:pt idx="1">
                  <c:v>957</c:v>
                </c:pt>
                <c:pt idx="2">
                  <c:v>1178</c:v>
                </c:pt>
                <c:pt idx="3">
                  <c:v>963.5</c:v>
                </c:pt>
                <c:pt idx="4">
                  <c:v>1094</c:v>
                </c:pt>
              </c:numCache>
            </c:numRef>
          </c:val>
          <c:extLst>
            <c:ext xmlns:c16="http://schemas.microsoft.com/office/drawing/2014/chart" uri="{C3380CC4-5D6E-409C-BE32-E72D297353CC}">
              <c16:uniqueId val="{00000000-31B0-417D-B08B-FD69AC0551C7}"/>
            </c:ext>
          </c:extLst>
        </c:ser>
        <c:ser>
          <c:idx val="1"/>
          <c:order val="1"/>
          <c:tx>
            <c:strRef>
              <c:f>Sheet1!$C$123</c:f>
              <c:strCache>
                <c:ptCount val="1"/>
                <c:pt idx="0">
                  <c:v>Actual</c:v>
                </c:pt>
              </c:strCache>
            </c:strRef>
          </c:tx>
          <c:spPr>
            <a:solidFill>
              <a:schemeClr val="accent2">
                <a:lumMod val="60000"/>
                <a:lumOff val="40000"/>
              </a:schemeClr>
            </a:solidFill>
            <a:ln>
              <a:noFill/>
            </a:ln>
            <a:effectLst/>
          </c:spPr>
          <c:invertIfNegative val="0"/>
          <c:cat>
            <c:strRef>
              <c:f>Sheet1!$D$121:$H$121</c:f>
              <c:strCache>
                <c:ptCount val="5"/>
                <c:pt idx="0">
                  <c:v>2013/14</c:v>
                </c:pt>
                <c:pt idx="1">
                  <c:v>2014/15</c:v>
                </c:pt>
                <c:pt idx="2">
                  <c:v>2015/16</c:v>
                </c:pt>
                <c:pt idx="3">
                  <c:v>2016/17</c:v>
                </c:pt>
                <c:pt idx="4">
                  <c:v>2017/18</c:v>
                </c:pt>
              </c:strCache>
            </c:strRef>
          </c:cat>
          <c:val>
            <c:numRef>
              <c:f>Sheet1!$D$123:$H$123</c:f>
              <c:numCache>
                <c:formatCode>_-"£"* #,##0_-;\-"£"* #,##0_-;_-"£"* "-"??_-;_-@_-</c:formatCode>
                <c:ptCount val="5"/>
                <c:pt idx="0">
                  <c:v>871</c:v>
                </c:pt>
                <c:pt idx="1">
                  <c:v>839</c:v>
                </c:pt>
                <c:pt idx="2">
                  <c:v>865</c:v>
                </c:pt>
                <c:pt idx="3">
                  <c:v>945.8</c:v>
                </c:pt>
                <c:pt idx="4">
                  <c:v>941</c:v>
                </c:pt>
              </c:numCache>
            </c:numRef>
          </c:val>
          <c:extLst>
            <c:ext xmlns:c16="http://schemas.microsoft.com/office/drawing/2014/chart" uri="{C3380CC4-5D6E-409C-BE32-E72D297353CC}">
              <c16:uniqueId val="{00000001-31B0-417D-B08B-FD69AC0551C7}"/>
            </c:ext>
          </c:extLst>
        </c:ser>
        <c:dLbls>
          <c:showLegendKey val="0"/>
          <c:showVal val="0"/>
          <c:showCatName val="0"/>
          <c:showSerName val="0"/>
          <c:showPercent val="0"/>
          <c:showBubbleSize val="0"/>
        </c:dLbls>
        <c:gapWidth val="99"/>
        <c:overlap val="-20"/>
        <c:axId val="510712400"/>
        <c:axId val="510712728"/>
      </c:barChart>
      <c:lineChart>
        <c:grouping val="standard"/>
        <c:varyColors val="0"/>
        <c:ser>
          <c:idx val="3"/>
          <c:order val="3"/>
          <c:tx>
            <c:strRef>
              <c:f>Sheet1!$C$126</c:f>
              <c:strCache>
                <c:ptCount val="1"/>
                <c:pt idx="0">
                  <c:v>NGET Payment</c:v>
                </c:pt>
              </c:strCache>
            </c:strRef>
          </c:tx>
          <c:spPr>
            <a:ln w="28575" cap="rnd">
              <a:solidFill>
                <a:srgbClr val="00B050"/>
              </a:solidFill>
              <a:prstDash val="sysDash"/>
              <a:round/>
            </a:ln>
            <a:effectLst/>
          </c:spPr>
          <c:marker>
            <c:symbol val="none"/>
          </c:marker>
          <c:cat>
            <c:strRef>
              <c:f>Sheet1!$D$121:$H$121</c:f>
              <c:strCache>
                <c:ptCount val="5"/>
                <c:pt idx="0">
                  <c:v>2013/14</c:v>
                </c:pt>
                <c:pt idx="1">
                  <c:v>2014/15</c:v>
                </c:pt>
                <c:pt idx="2">
                  <c:v>2015/16</c:v>
                </c:pt>
                <c:pt idx="3">
                  <c:v>2016/17</c:v>
                </c:pt>
                <c:pt idx="4">
                  <c:v>2017/18</c:v>
                </c:pt>
              </c:strCache>
            </c:strRef>
          </c:cat>
          <c:val>
            <c:numRef>
              <c:f>Sheet1!$D$126:$H$126</c:f>
              <c:numCache>
                <c:formatCode>_-"£"* #,##0_-;\-"£"* #,##0_-;_-"£"* "-"??_-;_-@_-</c:formatCode>
                <c:ptCount val="5"/>
                <c:pt idx="0">
                  <c:v>22</c:v>
                </c:pt>
                <c:pt idx="1">
                  <c:v>25</c:v>
                </c:pt>
                <c:pt idx="2">
                  <c:v>30</c:v>
                </c:pt>
                <c:pt idx="3">
                  <c:v>5.3</c:v>
                </c:pt>
                <c:pt idx="4">
                  <c:v>10</c:v>
                </c:pt>
              </c:numCache>
            </c:numRef>
          </c:val>
          <c:smooth val="0"/>
          <c:extLst>
            <c:ext xmlns:c16="http://schemas.microsoft.com/office/drawing/2014/chart" uri="{C3380CC4-5D6E-409C-BE32-E72D297353CC}">
              <c16:uniqueId val="{00000002-31B0-417D-B08B-FD69AC0551C7}"/>
            </c:ext>
          </c:extLst>
        </c:ser>
        <c:ser>
          <c:idx val="4"/>
          <c:order val="4"/>
          <c:tx>
            <c:strRef>
              <c:f>Sheet1!$C$125</c:f>
              <c:strCache>
                <c:ptCount val="1"/>
                <c:pt idx="0">
                  <c:v>Customer Saving</c:v>
                </c:pt>
              </c:strCache>
            </c:strRef>
          </c:tx>
          <c:spPr>
            <a:ln w="28575" cap="rnd">
              <a:solidFill>
                <a:srgbClr val="00B050"/>
              </a:solidFill>
              <a:round/>
            </a:ln>
            <a:effectLst/>
          </c:spPr>
          <c:marker>
            <c:symbol val="none"/>
          </c:marker>
          <c:val>
            <c:numRef>
              <c:f>Sheet1!$D$125:$H$125</c:f>
              <c:numCache>
                <c:formatCode>_-"£"* #,##0_-;\-"£"* #,##0_-;_-"£"* "-"??_-;_-@_-</c:formatCode>
                <c:ptCount val="5"/>
                <c:pt idx="0">
                  <c:v>67</c:v>
                </c:pt>
                <c:pt idx="1">
                  <c:v>93</c:v>
                </c:pt>
                <c:pt idx="2">
                  <c:v>283</c:v>
                </c:pt>
                <c:pt idx="3">
                  <c:v>12.400000000000045</c:v>
                </c:pt>
                <c:pt idx="4">
                  <c:v>143</c:v>
                </c:pt>
              </c:numCache>
            </c:numRef>
          </c:val>
          <c:smooth val="0"/>
          <c:extLst>
            <c:ext xmlns:c16="http://schemas.microsoft.com/office/drawing/2014/chart" uri="{C3380CC4-5D6E-409C-BE32-E72D297353CC}">
              <c16:uniqueId val="{00000003-31B0-417D-B08B-FD69AC0551C7}"/>
            </c:ext>
          </c:extLst>
        </c:ser>
        <c:dLbls>
          <c:showLegendKey val="0"/>
          <c:showVal val="0"/>
          <c:showCatName val="0"/>
          <c:showSerName val="0"/>
          <c:showPercent val="0"/>
          <c:showBubbleSize val="0"/>
        </c:dLbls>
        <c:marker val="1"/>
        <c:smooth val="0"/>
        <c:axId val="510265032"/>
        <c:axId val="510264048"/>
        <c:extLst>
          <c:ext xmlns:c15="http://schemas.microsoft.com/office/drawing/2012/chart" uri="{02D57815-91ED-43cb-92C2-25804820EDAC}">
            <c15:filteredLineSeries>
              <c15:ser>
                <c:idx val="2"/>
                <c:order val="2"/>
                <c:tx>
                  <c:strRef>
                    <c:extLst>
                      <c:ext uri="{02D57815-91ED-43cb-92C2-25804820EDAC}">
                        <c15:formulaRef>
                          <c15:sqref>Sheet1!$C$124</c15:sqref>
                        </c15:formulaRef>
                      </c:ext>
                    </c:extLst>
                    <c:strCache>
                      <c:ptCount val="1"/>
                      <c:pt idx="0">
                        <c:v>Difference</c:v>
                      </c:pt>
                    </c:strCache>
                  </c:strRef>
                </c:tx>
                <c:spPr>
                  <a:ln w="28575" cap="rnd">
                    <a:solidFill>
                      <a:schemeClr val="accent3"/>
                    </a:solidFill>
                    <a:round/>
                  </a:ln>
                  <a:effectLst/>
                </c:spPr>
                <c:marker>
                  <c:symbol val="none"/>
                </c:marker>
                <c:cat>
                  <c:strRef>
                    <c:extLst>
                      <c:ext uri="{02D57815-91ED-43cb-92C2-25804820EDAC}">
                        <c15:formulaRef>
                          <c15:sqref>Sheet1!$D$121:$H$121</c15:sqref>
                        </c15:formulaRef>
                      </c:ext>
                    </c:extLst>
                    <c:strCache>
                      <c:ptCount val="5"/>
                      <c:pt idx="0">
                        <c:v>2013/14</c:v>
                      </c:pt>
                      <c:pt idx="1">
                        <c:v>2014/15</c:v>
                      </c:pt>
                      <c:pt idx="2">
                        <c:v>2015/16</c:v>
                      </c:pt>
                      <c:pt idx="3">
                        <c:v>2016/17</c:v>
                      </c:pt>
                      <c:pt idx="4">
                        <c:v>2017/18</c:v>
                      </c:pt>
                    </c:strCache>
                  </c:strRef>
                </c:cat>
                <c:val>
                  <c:numRef>
                    <c:extLst>
                      <c:ext uri="{02D57815-91ED-43cb-92C2-25804820EDAC}">
                        <c15:formulaRef>
                          <c15:sqref>Sheet1!$D$124:$H$124</c15:sqref>
                        </c15:formulaRef>
                      </c:ext>
                    </c:extLst>
                    <c:numCache>
                      <c:formatCode>_-"£"* #,##0_-;\-"£"* #,##0_-;_-"£"* "-"??_-;_-@_-</c:formatCode>
                      <c:ptCount val="5"/>
                      <c:pt idx="0">
                        <c:v>89</c:v>
                      </c:pt>
                      <c:pt idx="1">
                        <c:v>118</c:v>
                      </c:pt>
                      <c:pt idx="2">
                        <c:v>313</c:v>
                      </c:pt>
                      <c:pt idx="3">
                        <c:v>17.700000000000045</c:v>
                      </c:pt>
                      <c:pt idx="4">
                        <c:v>153</c:v>
                      </c:pt>
                    </c:numCache>
                  </c:numRef>
                </c:val>
                <c:smooth val="0"/>
                <c:extLst>
                  <c:ext xmlns:c16="http://schemas.microsoft.com/office/drawing/2014/chart" uri="{C3380CC4-5D6E-409C-BE32-E72D297353CC}">
                    <c16:uniqueId val="{00000004-31B0-417D-B08B-FD69AC0551C7}"/>
                  </c:ext>
                </c:extLst>
              </c15:ser>
            </c15:filteredLineSeries>
          </c:ext>
        </c:extLst>
      </c:lineChart>
      <c:catAx>
        <c:axId val="510712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0712728"/>
        <c:crosses val="autoZero"/>
        <c:auto val="1"/>
        <c:lblAlgn val="ctr"/>
        <c:lblOffset val="100"/>
        <c:noMultiLvlLbl val="0"/>
      </c:catAx>
      <c:valAx>
        <c:axId val="510712728"/>
        <c:scaling>
          <c:orientation val="minMax"/>
          <c:max val="12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Spend (£M)</a:t>
                </a:r>
              </a:p>
            </c:rich>
          </c:tx>
          <c:layout>
            <c:manualLayout>
              <c:xMode val="edge"/>
              <c:yMode val="edge"/>
              <c:x val="3.1545741324921135E-3"/>
              <c:y val="0.267584199033944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_-&quot;£&quot;* #,##0_-;\-&quot;£&quot;* #,##0_-;_-&quot;£&quot;*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0712400"/>
        <c:crosses val="autoZero"/>
        <c:crossBetween val="between"/>
      </c:valAx>
      <c:valAx>
        <c:axId val="510264048"/>
        <c:scaling>
          <c:orientation val="minMax"/>
        </c:scaling>
        <c:delete val="0"/>
        <c:axPos val="r"/>
        <c:title>
          <c:tx>
            <c:rich>
              <a:bodyPr rot="-5400000" spcFirstLastPara="1" vertOverflow="ellipsis" vert="horz" wrap="square" anchor="ctr" anchorCtr="1"/>
              <a:lstStyle/>
              <a:p>
                <a:pPr>
                  <a:defRPr sz="1000" b="0" i="0" u="none" strike="noStrike" kern="1200" baseline="0">
                    <a:solidFill>
                      <a:srgbClr val="00B050"/>
                    </a:solidFill>
                    <a:latin typeface="+mn-lt"/>
                    <a:ea typeface="+mn-ea"/>
                    <a:cs typeface="+mn-cs"/>
                  </a:defRPr>
                </a:pPr>
                <a:r>
                  <a:rPr lang="en-US">
                    <a:solidFill>
                      <a:srgbClr val="00B050"/>
                    </a:solidFill>
                  </a:rPr>
                  <a:t>Customer  Saving (£M)</a:t>
                </a:r>
              </a:p>
            </c:rich>
          </c:tx>
          <c:overlay val="0"/>
          <c:spPr>
            <a:noFill/>
            <a:ln>
              <a:noFill/>
            </a:ln>
            <a:effectLst/>
          </c:spPr>
          <c:txPr>
            <a:bodyPr rot="-5400000" spcFirstLastPara="1" vertOverflow="ellipsis" vert="horz" wrap="square" anchor="ctr" anchorCtr="1"/>
            <a:lstStyle/>
            <a:p>
              <a:pPr>
                <a:defRPr sz="1000" b="0" i="0" u="none" strike="noStrike" kern="1200" baseline="0">
                  <a:solidFill>
                    <a:srgbClr val="00B050"/>
                  </a:solidFill>
                  <a:latin typeface="+mn-lt"/>
                  <a:ea typeface="+mn-ea"/>
                  <a:cs typeface="+mn-cs"/>
                </a:defRPr>
              </a:pPr>
              <a:endParaRPr lang="en-US"/>
            </a:p>
          </c:txPr>
        </c:title>
        <c:numFmt formatCode="_-&quot;£&quot;* #,##0_-;\-&quot;£&quot;* #,##0_-;_-&quot;£&quot;* &quot;-&quot;??_-;_-@_-" sourceLinked="1"/>
        <c:majorTickMark val="out"/>
        <c:minorTickMark val="none"/>
        <c:tickLblPos val="nextTo"/>
        <c:spPr>
          <a:noFill/>
          <a:ln>
            <a:solidFill>
              <a:srgbClr val="00B050"/>
            </a:solidFill>
          </a:ln>
          <a:effectLst/>
        </c:spPr>
        <c:txPr>
          <a:bodyPr rot="-6000000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n-US"/>
          </a:p>
        </c:txPr>
        <c:crossAx val="510265032"/>
        <c:crosses val="max"/>
        <c:crossBetween val="between"/>
      </c:valAx>
      <c:catAx>
        <c:axId val="510265032"/>
        <c:scaling>
          <c:orientation val="minMax"/>
        </c:scaling>
        <c:delete val="1"/>
        <c:axPos val="b"/>
        <c:numFmt formatCode="General" sourceLinked="1"/>
        <c:majorTickMark val="out"/>
        <c:minorTickMark val="none"/>
        <c:tickLblPos val="nextTo"/>
        <c:crossAx val="510264048"/>
        <c:crosses val="autoZero"/>
        <c:auto val="1"/>
        <c:lblAlgn val="ctr"/>
        <c:lblOffset val="100"/>
        <c:noMultiLvlLbl val="0"/>
      </c:catAx>
      <c:spPr>
        <a:noFill/>
        <a:ln>
          <a:noFill/>
        </a:ln>
        <a:effectLst/>
      </c:spPr>
    </c:plotArea>
    <c:legend>
      <c:legendPos val="b"/>
      <c:layout>
        <c:manualLayout>
          <c:xMode val="edge"/>
          <c:yMode val="edge"/>
          <c:x val="3.3274682157701709E-3"/>
          <c:y val="0.89645716554338284"/>
          <c:w val="0.99667253178422988"/>
          <c:h val="0.103542834456617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rgbClr val="FFFFCC"/>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solidFill>
                  <a:sysClr val="windowText" lastClr="000000"/>
                </a:solidFill>
              </a:defRPr>
            </a:pPr>
            <a:r>
              <a:rPr lang="en-US" sz="1200" b="0">
                <a:solidFill>
                  <a:sysClr val="windowText" lastClr="000000"/>
                </a:solidFill>
              </a:rPr>
              <a:t>Customer &amp; Stakeholder Incentive Performance</a:t>
            </a:r>
          </a:p>
        </c:rich>
      </c:tx>
      <c:overlay val="0"/>
    </c:title>
    <c:autoTitleDeleted val="0"/>
    <c:plotArea>
      <c:layout>
        <c:manualLayout>
          <c:layoutTarget val="inner"/>
          <c:xMode val="edge"/>
          <c:yMode val="edge"/>
          <c:x val="0.12865781441444435"/>
          <c:y val="0.19612031424965784"/>
          <c:w val="0.55923679668225801"/>
          <c:h val="0.66250466575425249"/>
        </c:manualLayout>
      </c:layout>
      <c:lineChart>
        <c:grouping val="standard"/>
        <c:varyColors val="0"/>
        <c:ser>
          <c:idx val="0"/>
          <c:order val="0"/>
          <c:tx>
            <c:strRef>
              <c:f>Sheet1!$C$66</c:f>
              <c:strCache>
                <c:ptCount val="1"/>
                <c:pt idx="0">
                  <c:v> Customer Target</c:v>
                </c:pt>
              </c:strCache>
            </c:strRef>
          </c:tx>
          <c:marker>
            <c:symbol val="none"/>
          </c:marker>
          <c:cat>
            <c:strRef>
              <c:f>Sheet1!$D$65:$H$65</c:f>
              <c:strCache>
                <c:ptCount val="5"/>
                <c:pt idx="0">
                  <c:v>13/14</c:v>
                </c:pt>
                <c:pt idx="1">
                  <c:v>14/15</c:v>
                </c:pt>
                <c:pt idx="2">
                  <c:v>15/16</c:v>
                </c:pt>
                <c:pt idx="3">
                  <c:v>16/17</c:v>
                </c:pt>
                <c:pt idx="4">
                  <c:v>17/18</c:v>
                </c:pt>
              </c:strCache>
            </c:strRef>
          </c:cat>
          <c:val>
            <c:numRef>
              <c:f>Sheet1!$D$66:$H$66</c:f>
              <c:numCache>
                <c:formatCode>General</c:formatCode>
                <c:ptCount val="5"/>
                <c:pt idx="0">
                  <c:v>6.9</c:v>
                </c:pt>
                <c:pt idx="1">
                  <c:v>6.9</c:v>
                </c:pt>
                <c:pt idx="2">
                  <c:v>6.9</c:v>
                </c:pt>
                <c:pt idx="3">
                  <c:v>6.9</c:v>
                </c:pt>
                <c:pt idx="4">
                  <c:v>6.9</c:v>
                </c:pt>
              </c:numCache>
            </c:numRef>
          </c:val>
          <c:smooth val="0"/>
          <c:extLst>
            <c:ext xmlns:c16="http://schemas.microsoft.com/office/drawing/2014/chart" uri="{C3380CC4-5D6E-409C-BE32-E72D297353CC}">
              <c16:uniqueId val="{00000000-8F9E-4B23-B1A5-D5FD7B00B6C5}"/>
            </c:ext>
          </c:extLst>
        </c:ser>
        <c:ser>
          <c:idx val="1"/>
          <c:order val="1"/>
          <c:tx>
            <c:strRef>
              <c:f>Sheet1!$C$67</c:f>
              <c:strCache>
                <c:ptCount val="1"/>
                <c:pt idx="0">
                  <c:v> Customer Performance</c:v>
                </c:pt>
              </c:strCache>
            </c:strRef>
          </c:tx>
          <c:spPr>
            <a:ln>
              <a:solidFill>
                <a:schemeClr val="accent1"/>
              </a:solidFill>
              <a:prstDash val="sysDash"/>
            </a:ln>
          </c:spPr>
          <c:marker>
            <c:symbol val="none"/>
          </c:marker>
          <c:cat>
            <c:strRef>
              <c:f>Sheet1!$D$65:$H$65</c:f>
              <c:strCache>
                <c:ptCount val="5"/>
                <c:pt idx="0">
                  <c:v>13/14</c:v>
                </c:pt>
                <c:pt idx="1">
                  <c:v>14/15</c:v>
                </c:pt>
                <c:pt idx="2">
                  <c:v>15/16</c:v>
                </c:pt>
                <c:pt idx="3">
                  <c:v>16/17</c:v>
                </c:pt>
                <c:pt idx="4">
                  <c:v>17/18</c:v>
                </c:pt>
              </c:strCache>
            </c:strRef>
          </c:cat>
          <c:val>
            <c:numRef>
              <c:f>Sheet1!$D$67:$H$67</c:f>
              <c:numCache>
                <c:formatCode>General</c:formatCode>
                <c:ptCount val="5"/>
                <c:pt idx="0">
                  <c:v>7.41</c:v>
                </c:pt>
                <c:pt idx="1">
                  <c:v>7.4</c:v>
                </c:pt>
                <c:pt idx="2">
                  <c:v>7.54</c:v>
                </c:pt>
                <c:pt idx="3">
                  <c:v>7.41</c:v>
                </c:pt>
                <c:pt idx="4">
                  <c:v>7.74</c:v>
                </c:pt>
              </c:numCache>
            </c:numRef>
          </c:val>
          <c:smooth val="0"/>
          <c:extLst>
            <c:ext xmlns:c16="http://schemas.microsoft.com/office/drawing/2014/chart" uri="{C3380CC4-5D6E-409C-BE32-E72D297353CC}">
              <c16:uniqueId val="{00000001-8F9E-4B23-B1A5-D5FD7B00B6C5}"/>
            </c:ext>
          </c:extLst>
        </c:ser>
        <c:ser>
          <c:idx val="2"/>
          <c:order val="2"/>
          <c:tx>
            <c:strRef>
              <c:f>Sheet1!$C$68</c:f>
              <c:strCache>
                <c:ptCount val="1"/>
                <c:pt idx="0">
                  <c:v>Stakeholder Target</c:v>
                </c:pt>
              </c:strCache>
            </c:strRef>
          </c:tx>
          <c:spPr>
            <a:ln>
              <a:solidFill>
                <a:schemeClr val="accent6"/>
              </a:solidFill>
            </a:ln>
          </c:spPr>
          <c:marker>
            <c:symbol val="none"/>
          </c:marker>
          <c:cat>
            <c:strRef>
              <c:f>Sheet1!$D$65:$H$65</c:f>
              <c:strCache>
                <c:ptCount val="5"/>
                <c:pt idx="0">
                  <c:v>13/14</c:v>
                </c:pt>
                <c:pt idx="1">
                  <c:v>14/15</c:v>
                </c:pt>
                <c:pt idx="2">
                  <c:v>15/16</c:v>
                </c:pt>
                <c:pt idx="3">
                  <c:v>16/17</c:v>
                </c:pt>
                <c:pt idx="4">
                  <c:v>17/18</c:v>
                </c:pt>
              </c:strCache>
            </c:strRef>
          </c:cat>
          <c:val>
            <c:numRef>
              <c:f>Sheet1!$D$68:$H$68</c:f>
              <c:numCache>
                <c:formatCode>General</c:formatCode>
                <c:ptCount val="5"/>
                <c:pt idx="3">
                  <c:v>7.4</c:v>
                </c:pt>
                <c:pt idx="4">
                  <c:v>7.4</c:v>
                </c:pt>
              </c:numCache>
            </c:numRef>
          </c:val>
          <c:smooth val="0"/>
          <c:extLst>
            <c:ext xmlns:c16="http://schemas.microsoft.com/office/drawing/2014/chart" uri="{C3380CC4-5D6E-409C-BE32-E72D297353CC}">
              <c16:uniqueId val="{00000002-8F9E-4B23-B1A5-D5FD7B00B6C5}"/>
            </c:ext>
          </c:extLst>
        </c:ser>
        <c:ser>
          <c:idx val="3"/>
          <c:order val="3"/>
          <c:tx>
            <c:strRef>
              <c:f>Sheet1!$C$69</c:f>
              <c:strCache>
                <c:ptCount val="1"/>
                <c:pt idx="0">
                  <c:v>Stakeholder Performance</c:v>
                </c:pt>
              </c:strCache>
            </c:strRef>
          </c:tx>
          <c:spPr>
            <a:ln>
              <a:solidFill>
                <a:schemeClr val="accent6"/>
              </a:solidFill>
              <a:prstDash val="sysDash"/>
            </a:ln>
          </c:spPr>
          <c:marker>
            <c:symbol val="none"/>
          </c:marker>
          <c:cat>
            <c:strRef>
              <c:f>Sheet1!$D$65:$H$65</c:f>
              <c:strCache>
                <c:ptCount val="5"/>
                <c:pt idx="0">
                  <c:v>13/14</c:v>
                </c:pt>
                <c:pt idx="1">
                  <c:v>14/15</c:v>
                </c:pt>
                <c:pt idx="2">
                  <c:v>15/16</c:v>
                </c:pt>
                <c:pt idx="3">
                  <c:v>16/17</c:v>
                </c:pt>
                <c:pt idx="4">
                  <c:v>17/18</c:v>
                </c:pt>
              </c:strCache>
            </c:strRef>
          </c:cat>
          <c:val>
            <c:numRef>
              <c:f>Sheet1!$D$69:$H$69</c:f>
              <c:numCache>
                <c:formatCode>General</c:formatCode>
                <c:ptCount val="5"/>
                <c:pt idx="0">
                  <c:v>7.53</c:v>
                </c:pt>
                <c:pt idx="1">
                  <c:v>7.74</c:v>
                </c:pt>
                <c:pt idx="2">
                  <c:v>7.53</c:v>
                </c:pt>
                <c:pt idx="3">
                  <c:v>7.66</c:v>
                </c:pt>
                <c:pt idx="4">
                  <c:v>7.88</c:v>
                </c:pt>
              </c:numCache>
            </c:numRef>
          </c:val>
          <c:smooth val="0"/>
          <c:extLst>
            <c:ext xmlns:c16="http://schemas.microsoft.com/office/drawing/2014/chart" uri="{C3380CC4-5D6E-409C-BE32-E72D297353CC}">
              <c16:uniqueId val="{00000003-8F9E-4B23-B1A5-D5FD7B00B6C5}"/>
            </c:ext>
          </c:extLst>
        </c:ser>
        <c:dLbls>
          <c:showLegendKey val="0"/>
          <c:showVal val="0"/>
          <c:showCatName val="0"/>
          <c:showSerName val="0"/>
          <c:showPercent val="0"/>
          <c:showBubbleSize val="0"/>
        </c:dLbls>
        <c:smooth val="0"/>
        <c:axId val="234333696"/>
        <c:axId val="234335232"/>
      </c:lineChart>
      <c:catAx>
        <c:axId val="234333696"/>
        <c:scaling>
          <c:orientation val="minMax"/>
        </c:scaling>
        <c:delete val="0"/>
        <c:axPos val="b"/>
        <c:numFmt formatCode="General" sourceLinked="0"/>
        <c:majorTickMark val="out"/>
        <c:minorTickMark val="none"/>
        <c:tickLblPos val="nextTo"/>
        <c:crossAx val="234335232"/>
        <c:crosses val="autoZero"/>
        <c:auto val="1"/>
        <c:lblAlgn val="ctr"/>
        <c:lblOffset val="100"/>
        <c:noMultiLvlLbl val="0"/>
      </c:catAx>
      <c:valAx>
        <c:axId val="234335232"/>
        <c:scaling>
          <c:orientation val="minMax"/>
          <c:max val="9"/>
          <c:min val="6"/>
        </c:scaling>
        <c:delete val="0"/>
        <c:axPos val="l"/>
        <c:majorGridlines>
          <c:spPr>
            <a:ln>
              <a:solidFill>
                <a:schemeClr val="accent1">
                  <a:lumMod val="60000"/>
                  <a:lumOff val="40000"/>
                </a:schemeClr>
              </a:solidFill>
            </a:ln>
          </c:spPr>
        </c:majorGridlines>
        <c:title>
          <c:tx>
            <c:rich>
              <a:bodyPr rot="-5400000" vert="horz"/>
              <a:lstStyle/>
              <a:p>
                <a:pPr>
                  <a:defRPr/>
                </a:pPr>
                <a:r>
                  <a:rPr lang="en-US"/>
                  <a:t>Score out of 10</a:t>
                </a:r>
              </a:p>
            </c:rich>
          </c:tx>
          <c:layout>
            <c:manualLayout>
              <c:xMode val="edge"/>
              <c:yMode val="edge"/>
              <c:x val="0"/>
              <c:y val="0.33397513375162191"/>
            </c:manualLayout>
          </c:layout>
          <c:overlay val="0"/>
        </c:title>
        <c:numFmt formatCode="General" sourceLinked="1"/>
        <c:majorTickMark val="out"/>
        <c:minorTickMark val="none"/>
        <c:tickLblPos val="nextTo"/>
        <c:crossAx val="234333696"/>
        <c:crosses val="autoZero"/>
        <c:crossBetween val="between"/>
      </c:valAx>
      <c:spPr>
        <a:solidFill>
          <a:srgbClr val="FFFFCC"/>
        </a:solidFill>
      </c:spPr>
    </c:plotArea>
    <c:legend>
      <c:legendPos val="r"/>
      <c:layout>
        <c:manualLayout>
          <c:xMode val="edge"/>
          <c:yMode val="edge"/>
          <c:x val="0.66653923603967546"/>
          <c:y val="0.20008415301470778"/>
          <c:w val="0.3144583886634123"/>
          <c:h val="0.54424587903955612"/>
        </c:manualLayout>
      </c:layout>
      <c:overlay val="0"/>
      <c:txPr>
        <a:bodyPr/>
        <a:lstStyle/>
        <a:p>
          <a:pPr>
            <a:defRPr sz="800"/>
          </a:pPr>
          <a:endParaRPr lang="en-US"/>
        </a:p>
      </c:txPr>
    </c:legend>
    <c:plotVisOnly val="1"/>
    <c:dispBlanksAs val="gap"/>
    <c:showDLblsOverMax val="0"/>
  </c:chart>
  <c:spPr>
    <a:solidFill>
      <a:srgbClr val="FFFFCC"/>
    </a:solidFill>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0.67986</cdr:x>
      <cdr:y>0.71832</cdr:y>
    </cdr:from>
    <cdr:to>
      <cdr:x>0.99287</cdr:x>
      <cdr:y>1</cdr:y>
    </cdr:to>
    <cdr:sp macro="" textlink="">
      <cdr:nvSpPr>
        <cdr:cNvPr id="2" name="TextBox 7">
          <a:extLst xmlns:a="http://schemas.openxmlformats.org/drawingml/2006/main">
            <a:ext uri="{FF2B5EF4-FFF2-40B4-BE49-F238E27FC236}">
              <a16:creationId xmlns:a16="http://schemas.microsoft.com/office/drawing/2014/main" id="{4D928D15-CE62-4FDF-9571-2CBDB9A0A27E}"/>
            </a:ext>
          </a:extLst>
        </cdr:cNvPr>
        <cdr:cNvSpPr txBox="1"/>
      </cdr:nvSpPr>
      <cdr:spPr>
        <a:xfrm xmlns:a="http://schemas.openxmlformats.org/drawingml/2006/main">
          <a:off x="2726238" y="1698632"/>
          <a:ext cx="1255211" cy="666108"/>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GB" sz="1000">
              <a:solidFill>
                <a:schemeClr val="bg1">
                  <a:lumMod val="50000"/>
                </a:schemeClr>
              </a:solidFill>
            </a:rPr>
            <a:t>NB there was no target set for the Stakeholder Survey until 2016/17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 Nick</dc:creator>
  <cp:keywords/>
  <dc:description/>
  <cp:lastModifiedBy>Sanderson, Nick</cp:lastModifiedBy>
  <cp:revision>1</cp:revision>
  <dcterms:created xsi:type="dcterms:W3CDTF">2018-09-28T09:45:00Z</dcterms:created>
  <dcterms:modified xsi:type="dcterms:W3CDTF">2018-09-28T09:56:00Z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-1792706788</vt:i4>
  </property>
  <property fmtid="{D5CDD505-2E9C-101B-9397-08002B2CF9AE}" pid="3" name="_NewReviewCycle">
    <vt:lpwstr/>
  </property>
  <property fmtid="{D5CDD505-2E9C-101B-9397-08002B2CF9AE}" pid="4" name="_EmailSubject">
    <vt:lpwstr>stakeholder document</vt:lpwstr>
  </property>
  <property fmtid="{D5CDD505-2E9C-101B-9397-08002B2CF9AE}" pid="5" name="_AuthorEmail">
    <vt:lpwstr>Nick.Sanderson@nationalgrid.com</vt:lpwstr>
  </property>
  <property fmtid="{D5CDD505-2E9C-101B-9397-08002B2CF9AE}" pid="6" name="_AuthorEmailDisplayName">
    <vt:lpwstr>Sanderson, Nick</vt:lpwstr>
  </property>
</Properties>
</file>