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D1" w:rsidRPr="00697962" w:rsidRDefault="00B15114">
      <w:pPr>
        <w:rPr>
          <w:sz w:val="28"/>
          <w:szCs w:val="28"/>
        </w:rPr>
      </w:pPr>
      <w:bookmarkStart w:id="0" w:name="_GoBack"/>
      <w:bookmarkEnd w:id="0"/>
      <w:r w:rsidRPr="00697962">
        <w:rPr>
          <w:sz w:val="28"/>
          <w:szCs w:val="28"/>
        </w:rPr>
        <w:t xml:space="preserve">Small Network Analysis </w:t>
      </w:r>
    </w:p>
    <w:p w:rsidR="0038652D" w:rsidRDefault="0038652D">
      <w:r>
        <w:t>The network</w:t>
      </w:r>
    </w:p>
    <w:p w:rsidR="00516A18" w:rsidRDefault="00516A18">
      <w:r>
        <w:t xml:space="preserve"> </w:t>
      </w:r>
      <w:r w:rsidR="005E45B1">
        <w:rPr>
          <w:noProof/>
          <w:lang w:eastAsia="en-GB"/>
        </w:rPr>
        <w:drawing>
          <wp:inline distT="0" distB="0" distL="0" distR="0" wp14:anchorId="6EA01425" wp14:editId="01F4A80C">
            <wp:extent cx="5731510" cy="4054921"/>
            <wp:effectExtent l="0" t="0" r="254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52D" w:rsidRDefault="0038652D">
      <w:r>
        <w:t>Fig 1</w:t>
      </w:r>
    </w:p>
    <w:p w:rsidR="003F184C" w:rsidRDefault="003F184C"/>
    <w:p w:rsidR="00516A18" w:rsidRDefault="00516A18">
      <w:r>
        <w:t xml:space="preserve">For a Fault </w:t>
      </w:r>
      <w:r w:rsidR="003B6E1F">
        <w:t>on</w:t>
      </w:r>
      <w:r>
        <w:t xml:space="preserve"> line</w:t>
      </w:r>
      <w:r w:rsidR="003B25AC">
        <w:t xml:space="preserve"> </w:t>
      </w:r>
      <w:r>
        <w:t xml:space="preserve">3 </w:t>
      </w:r>
      <w:r w:rsidR="003B25AC">
        <w:t>with a fault clearing time of 140ms</w:t>
      </w:r>
      <w:r>
        <w:t xml:space="preserve"> </w:t>
      </w:r>
      <w:r w:rsidR="006C4150">
        <w:t>the following were observed on the 11kV busbar</w:t>
      </w:r>
    </w:p>
    <w:p w:rsidR="00DF19E8" w:rsidRDefault="00DF19E8" w:rsidP="001D43F1">
      <w:pPr>
        <w:ind w:left="993"/>
      </w:pPr>
    </w:p>
    <w:p w:rsidR="00046FCA" w:rsidRDefault="00046FCA" w:rsidP="001D43F1">
      <w:pPr>
        <w:ind w:left="993"/>
      </w:pPr>
    </w:p>
    <w:p w:rsidR="00046FCA" w:rsidRDefault="00046FCA" w:rsidP="001D43F1">
      <w:pPr>
        <w:ind w:left="993"/>
      </w:pPr>
    </w:p>
    <w:p w:rsidR="00046FCA" w:rsidRDefault="00046FCA" w:rsidP="001D43F1">
      <w:pPr>
        <w:ind w:left="993"/>
      </w:pPr>
    </w:p>
    <w:p w:rsidR="00046FCA" w:rsidRDefault="00046FCA" w:rsidP="001D43F1">
      <w:pPr>
        <w:ind w:left="993"/>
      </w:pPr>
    </w:p>
    <w:p w:rsidR="00046FCA" w:rsidRDefault="00046FCA" w:rsidP="001D43F1">
      <w:pPr>
        <w:ind w:left="993"/>
      </w:pPr>
    </w:p>
    <w:p w:rsidR="00046FCA" w:rsidRDefault="00046FCA" w:rsidP="001D43F1">
      <w:pPr>
        <w:ind w:left="993"/>
      </w:pPr>
    </w:p>
    <w:p w:rsidR="00046FCA" w:rsidRDefault="00046FCA" w:rsidP="001D43F1">
      <w:pPr>
        <w:ind w:left="993"/>
      </w:pPr>
    </w:p>
    <w:p w:rsidR="001D43F1" w:rsidRDefault="001D43F1" w:rsidP="001D43F1">
      <w:pPr>
        <w:pStyle w:val="ListParagraph"/>
      </w:pPr>
    </w:p>
    <w:p w:rsidR="001D43F1" w:rsidRDefault="001D43F1" w:rsidP="001D43F1">
      <w:pPr>
        <w:pStyle w:val="ListParagraph"/>
      </w:pPr>
    </w:p>
    <w:p w:rsidR="001D43F1" w:rsidRPr="00F33FE7" w:rsidRDefault="00046FCA" w:rsidP="00046FCA">
      <w:pPr>
        <w:pStyle w:val="ListParagraph"/>
        <w:numPr>
          <w:ilvl w:val="0"/>
          <w:numId w:val="6"/>
        </w:numPr>
      </w:pPr>
      <w:r>
        <w:rPr>
          <w:b/>
        </w:rPr>
        <w:t>Result Using EMT simulation</w:t>
      </w:r>
    </w:p>
    <w:p w:rsidR="00F33FE7" w:rsidRDefault="00F33FE7" w:rsidP="00F33FE7">
      <w:pPr>
        <w:pStyle w:val="ListParagraph"/>
        <w:ind w:left="1080"/>
      </w:pPr>
      <w:r>
        <w:rPr>
          <w:noProof/>
          <w:lang w:eastAsia="en-GB"/>
        </w:rPr>
        <w:drawing>
          <wp:inline distT="0" distB="0" distL="0" distR="0" wp14:anchorId="48602FA0" wp14:editId="574A35D2">
            <wp:extent cx="5119735" cy="320621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9214" cy="32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88E" w:rsidRDefault="0093688E" w:rsidP="0093688E">
      <w:pPr>
        <w:pStyle w:val="ListParagraph"/>
      </w:pPr>
    </w:p>
    <w:p w:rsidR="0039646C" w:rsidRDefault="00046FCA" w:rsidP="00046FCA">
      <w:pPr>
        <w:pStyle w:val="ListParagraph"/>
        <w:numPr>
          <w:ilvl w:val="0"/>
          <w:numId w:val="6"/>
        </w:numPr>
      </w:pPr>
      <w:r>
        <w:t>Results From RMS simulation</w:t>
      </w:r>
    </w:p>
    <w:p w:rsidR="00046FCA" w:rsidRDefault="00F33FE7" w:rsidP="00046FCA">
      <w:pPr>
        <w:pStyle w:val="ListParagraph"/>
        <w:ind w:left="1080"/>
      </w:pPr>
      <w:r>
        <w:rPr>
          <w:noProof/>
          <w:lang w:eastAsia="en-GB"/>
        </w:rPr>
        <w:drawing>
          <wp:inline distT="0" distB="0" distL="0" distR="0" wp14:anchorId="62E4AE89" wp14:editId="381CFCCA">
            <wp:extent cx="5114925" cy="3611596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3453" cy="361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A00" w:rsidRDefault="009C0A00" w:rsidP="0093688E">
      <w:pPr>
        <w:pStyle w:val="ListParagraph"/>
      </w:pPr>
    </w:p>
    <w:p w:rsidR="009C0A00" w:rsidRDefault="009C0A00" w:rsidP="009C0A00">
      <w:pPr>
        <w:pStyle w:val="ListParagraph"/>
        <w:ind w:left="0"/>
      </w:pPr>
      <w:r>
        <w:t>Result summary</w:t>
      </w:r>
    </w:p>
    <w:p w:rsidR="00C35487" w:rsidRDefault="00C35487" w:rsidP="009C0A00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35487" w:rsidTr="00C35487">
        <w:tc>
          <w:tcPr>
            <w:tcW w:w="3080" w:type="dxa"/>
          </w:tcPr>
          <w:p w:rsidR="00C35487" w:rsidRDefault="00C35487" w:rsidP="00C35487">
            <w:pPr>
              <w:pStyle w:val="ListParagraph"/>
              <w:ind w:left="0"/>
              <w:jc w:val="center"/>
            </w:pPr>
            <w:r>
              <w:t>Study</w:t>
            </w:r>
          </w:p>
        </w:tc>
        <w:tc>
          <w:tcPr>
            <w:tcW w:w="3081" w:type="dxa"/>
          </w:tcPr>
          <w:p w:rsidR="00C35487" w:rsidRDefault="00C35487" w:rsidP="00C35487">
            <w:pPr>
              <w:pStyle w:val="ListParagraph"/>
              <w:ind w:left="0"/>
              <w:jc w:val="center"/>
            </w:pPr>
            <w:r>
              <w:t>EMT</w:t>
            </w:r>
          </w:p>
        </w:tc>
        <w:tc>
          <w:tcPr>
            <w:tcW w:w="3081" w:type="dxa"/>
          </w:tcPr>
          <w:p w:rsidR="00C35487" w:rsidRDefault="00C35487" w:rsidP="00C35487">
            <w:pPr>
              <w:pStyle w:val="ListParagraph"/>
              <w:ind w:left="0"/>
              <w:jc w:val="center"/>
            </w:pPr>
            <w:r>
              <w:t>RMS</w:t>
            </w:r>
          </w:p>
        </w:tc>
      </w:tr>
      <w:tr w:rsidR="00C35487" w:rsidTr="00C35487">
        <w:tc>
          <w:tcPr>
            <w:tcW w:w="3080" w:type="dxa"/>
          </w:tcPr>
          <w:p w:rsidR="00C35487" w:rsidRDefault="00C35487" w:rsidP="00C35487">
            <w:pPr>
              <w:pStyle w:val="ListParagraph"/>
              <w:ind w:left="0"/>
              <w:jc w:val="center"/>
            </w:pPr>
            <w:r w:rsidRPr="009C0A00">
              <w:t>Three phase fault</w:t>
            </w:r>
          </w:p>
        </w:tc>
        <w:tc>
          <w:tcPr>
            <w:tcW w:w="3081" w:type="dxa"/>
          </w:tcPr>
          <w:p w:rsidR="00C35487" w:rsidRDefault="00C35487" w:rsidP="00C35487">
            <w:pPr>
              <w:pStyle w:val="ListParagraph"/>
              <w:ind w:left="0"/>
              <w:jc w:val="center"/>
            </w:pPr>
            <w:r>
              <w:t>4.082</w:t>
            </w:r>
          </w:p>
        </w:tc>
        <w:tc>
          <w:tcPr>
            <w:tcW w:w="3081" w:type="dxa"/>
          </w:tcPr>
          <w:p w:rsidR="00C35487" w:rsidRPr="009C0A00" w:rsidRDefault="00C35487" w:rsidP="00C35487">
            <w:pPr>
              <w:jc w:val="center"/>
            </w:pPr>
            <w:r>
              <w:t>4.079</w:t>
            </w:r>
          </w:p>
        </w:tc>
      </w:tr>
    </w:tbl>
    <w:p w:rsidR="00C35487" w:rsidRDefault="00C35487" w:rsidP="006A2B88">
      <w:pPr>
        <w:rPr>
          <w:b/>
        </w:rPr>
      </w:pPr>
    </w:p>
    <w:p w:rsidR="00C35487" w:rsidRDefault="00C35487" w:rsidP="006A2B88">
      <w:pPr>
        <w:rPr>
          <w:b/>
        </w:rPr>
      </w:pPr>
    </w:p>
    <w:p w:rsidR="006A2B88" w:rsidRDefault="006A2B88" w:rsidP="006A2B88">
      <w:r w:rsidRPr="009B49BD">
        <w:rPr>
          <w:b/>
        </w:rPr>
        <w:lastRenderedPageBreak/>
        <w:t>Conc</w:t>
      </w:r>
      <w:r>
        <w:rPr>
          <w:b/>
        </w:rPr>
        <w:t>l</w:t>
      </w:r>
      <w:r w:rsidRPr="009B49BD">
        <w:rPr>
          <w:b/>
        </w:rPr>
        <w:t>usion</w:t>
      </w:r>
      <w:r>
        <w:t xml:space="preserve">.   </w:t>
      </w:r>
    </w:p>
    <w:p w:rsidR="00145727" w:rsidRDefault="00145727" w:rsidP="00864421">
      <w:pPr>
        <w:jc w:val="both"/>
      </w:pPr>
      <w:r w:rsidRPr="00145727">
        <w:t xml:space="preserve">EMT studies include in their simulation the impact of fast electromagnetic transients e.g. stator transients </w:t>
      </w:r>
      <w:r w:rsidR="003B6E1F">
        <w:t>of</w:t>
      </w:r>
      <w:r w:rsidRPr="00145727">
        <w:t xml:space="preserve"> an induction machine. These are ignored in the RMS simulation. </w:t>
      </w:r>
      <w:r w:rsidR="006A2B88">
        <w:t>From the various analyses on this network, the change in angle is almost the same. We have concluded that the use of the RMS simulation will be a good indicator of the changes in the angle.</w:t>
      </w:r>
    </w:p>
    <w:p w:rsidR="00D01E2F" w:rsidRDefault="00D01E2F">
      <w:r>
        <w:br w:type="page"/>
      </w:r>
    </w:p>
    <w:p w:rsidR="00D01E2F" w:rsidRPr="00145727" w:rsidRDefault="00D01E2F" w:rsidP="00864421">
      <w:pPr>
        <w:jc w:val="both"/>
      </w:pPr>
    </w:p>
    <w:p w:rsidR="00D01E2F" w:rsidRPr="004868C5" w:rsidRDefault="00D01E2F" w:rsidP="006A2B88">
      <w:pPr>
        <w:rPr>
          <w:sz w:val="28"/>
          <w:szCs w:val="28"/>
        </w:rPr>
      </w:pPr>
    </w:p>
    <w:p w:rsidR="006A2B88" w:rsidRPr="004868C5" w:rsidRDefault="00ED01E3" w:rsidP="006A2B88">
      <w:pPr>
        <w:rPr>
          <w:sz w:val="28"/>
          <w:szCs w:val="28"/>
        </w:rPr>
      </w:pPr>
      <w:r w:rsidRPr="004868C5">
        <w:rPr>
          <w:sz w:val="28"/>
          <w:szCs w:val="28"/>
        </w:rPr>
        <w:t xml:space="preserve">GB </w:t>
      </w:r>
      <w:r w:rsidR="007605A6" w:rsidRPr="004868C5">
        <w:rPr>
          <w:sz w:val="28"/>
          <w:szCs w:val="28"/>
        </w:rPr>
        <w:t>Network Analysis</w:t>
      </w:r>
      <w:r w:rsidR="006A2B88" w:rsidRPr="004868C5">
        <w:rPr>
          <w:sz w:val="28"/>
          <w:szCs w:val="28"/>
        </w:rPr>
        <w:t xml:space="preserve"> </w:t>
      </w:r>
    </w:p>
    <w:p w:rsidR="0092544B" w:rsidRDefault="0092544B" w:rsidP="006A2B88"/>
    <w:p w:rsidR="003B6E1F" w:rsidRDefault="007605A6" w:rsidP="00B67A5E">
      <w:pPr>
        <w:jc w:val="both"/>
      </w:pPr>
      <w:r>
        <w:t>The network used is composed the GB transmission network modelled explicitly with all the components while the DNO is as submitted</w:t>
      </w:r>
      <w:r w:rsidR="003B6E1F">
        <w:t xml:space="preserve"> by the DNO in line with their G</w:t>
      </w:r>
      <w:r>
        <w:t xml:space="preserve">rid </w:t>
      </w:r>
      <w:r w:rsidR="003B6E1F">
        <w:t>C</w:t>
      </w:r>
      <w:r>
        <w:t>ode obligation.</w:t>
      </w:r>
      <w:r w:rsidR="00B67A5E">
        <w:t xml:space="preserve"> Small and medium embedded generations in England and Wales have been netted of the demand.</w:t>
      </w:r>
    </w:p>
    <w:p w:rsidR="003B6E1F" w:rsidRDefault="003B6E1F" w:rsidP="003B6E1F">
      <w:pPr>
        <w:rPr>
          <w:b/>
        </w:rPr>
      </w:pPr>
      <w:r>
        <w:rPr>
          <w:b/>
        </w:rPr>
        <w:t>Network</w:t>
      </w:r>
      <w:r w:rsidRPr="0092544B">
        <w:rPr>
          <w:b/>
        </w:rPr>
        <w:t xml:space="preserve"> </w:t>
      </w:r>
      <w:r>
        <w:rPr>
          <w:b/>
        </w:rPr>
        <w:t>k Background</w:t>
      </w:r>
    </w:p>
    <w:p w:rsidR="00B67A5E" w:rsidRDefault="00B67A5E" w:rsidP="003B6E1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457"/>
        <w:gridCol w:w="2451"/>
        <w:gridCol w:w="2025"/>
      </w:tblGrid>
      <w:tr w:rsidR="003B6E1F" w:rsidTr="00FF674F">
        <w:tc>
          <w:tcPr>
            <w:tcW w:w="2309" w:type="dxa"/>
          </w:tcPr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>Demand[MW]</w:t>
            </w:r>
            <w:r w:rsidR="00726426">
              <w:rPr>
                <w:b/>
              </w:rPr>
              <w:t>*</w:t>
            </w:r>
          </w:p>
          <w:p w:rsidR="00726426" w:rsidRDefault="00726426" w:rsidP="00FF674F">
            <w:pPr>
              <w:rPr>
                <w:b/>
              </w:rPr>
            </w:pPr>
          </w:p>
        </w:tc>
        <w:tc>
          <w:tcPr>
            <w:tcW w:w="2457" w:type="dxa"/>
          </w:tcPr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>Synchronous Generation</w:t>
            </w:r>
          </w:p>
        </w:tc>
        <w:tc>
          <w:tcPr>
            <w:tcW w:w="2451" w:type="dxa"/>
          </w:tcPr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 xml:space="preserve">Non synchronous </w:t>
            </w:r>
          </w:p>
        </w:tc>
        <w:tc>
          <w:tcPr>
            <w:tcW w:w="2025" w:type="dxa"/>
          </w:tcPr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>HVDC(imports)</w:t>
            </w:r>
          </w:p>
        </w:tc>
      </w:tr>
      <w:tr w:rsidR="003B6E1F" w:rsidTr="00FF674F">
        <w:tc>
          <w:tcPr>
            <w:tcW w:w="2309" w:type="dxa"/>
          </w:tcPr>
          <w:p w:rsidR="003B6E1F" w:rsidRDefault="003B6E1F" w:rsidP="00FF674F">
            <w:pPr>
              <w:rPr>
                <w:b/>
              </w:rPr>
            </w:pPr>
          </w:p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>27350</w:t>
            </w:r>
          </w:p>
        </w:tc>
        <w:tc>
          <w:tcPr>
            <w:tcW w:w="2457" w:type="dxa"/>
          </w:tcPr>
          <w:p w:rsidR="003B6E1F" w:rsidRDefault="003B6E1F" w:rsidP="00FF674F">
            <w:pPr>
              <w:rPr>
                <w:b/>
              </w:rPr>
            </w:pPr>
          </w:p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>24790</w:t>
            </w:r>
          </w:p>
        </w:tc>
        <w:tc>
          <w:tcPr>
            <w:tcW w:w="2451" w:type="dxa"/>
          </w:tcPr>
          <w:p w:rsidR="003B6E1F" w:rsidRDefault="003B6E1F" w:rsidP="00FF674F">
            <w:pPr>
              <w:rPr>
                <w:b/>
              </w:rPr>
            </w:pPr>
          </w:p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2025" w:type="dxa"/>
          </w:tcPr>
          <w:p w:rsidR="003B6E1F" w:rsidRDefault="003B6E1F" w:rsidP="00FF674F">
            <w:pPr>
              <w:rPr>
                <w:b/>
              </w:rPr>
            </w:pPr>
          </w:p>
          <w:p w:rsidR="003B6E1F" w:rsidRDefault="003B6E1F" w:rsidP="00FF674F">
            <w:pPr>
              <w:rPr>
                <w:b/>
              </w:rPr>
            </w:pPr>
            <w:r>
              <w:rPr>
                <w:b/>
              </w:rPr>
              <w:t>2800</w:t>
            </w:r>
          </w:p>
          <w:p w:rsidR="003B6E1F" w:rsidRDefault="003B6E1F" w:rsidP="00FF674F">
            <w:pPr>
              <w:rPr>
                <w:b/>
              </w:rPr>
            </w:pPr>
          </w:p>
        </w:tc>
      </w:tr>
    </w:tbl>
    <w:p w:rsidR="00726426" w:rsidRDefault="002F7585" w:rsidP="002F7585">
      <w:pPr>
        <w:pStyle w:val="ListParagraph"/>
        <w:ind w:left="0"/>
      </w:pPr>
      <w:r>
        <w:t>*</w:t>
      </w:r>
      <w:r w:rsidR="00726426">
        <w:t>This is net of embedded generation for England and wales</w:t>
      </w:r>
    </w:p>
    <w:p w:rsidR="007605A6" w:rsidRDefault="00A8543F" w:rsidP="006A2B88">
      <w:r>
        <w:t>The following is the network Use to analyse Case 1 to 4</w:t>
      </w:r>
    </w:p>
    <w:p w:rsidR="0092544B" w:rsidRDefault="0092544B" w:rsidP="006A2B88"/>
    <w:p w:rsidR="009B49BD" w:rsidRDefault="00301D04" w:rsidP="00A8543F">
      <w:pPr>
        <w:ind w:left="-567"/>
      </w:pPr>
      <w:r>
        <w:rPr>
          <w:noProof/>
          <w:lang w:eastAsia="en-GB"/>
        </w:rPr>
        <w:drawing>
          <wp:inline distT="0" distB="0" distL="0" distR="0" wp14:anchorId="06ACAEC0" wp14:editId="4B4ED3F7">
            <wp:extent cx="6905450" cy="302820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05450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4B" w:rsidRDefault="0092544B" w:rsidP="0039646C">
      <w:pPr>
        <w:rPr>
          <w:b/>
        </w:rPr>
      </w:pPr>
    </w:p>
    <w:p w:rsidR="00E24EF7" w:rsidRDefault="00E24EF7" w:rsidP="0039646C">
      <w:pPr>
        <w:rPr>
          <w:b/>
        </w:rPr>
      </w:pPr>
    </w:p>
    <w:p w:rsidR="0092544B" w:rsidRDefault="0092544B" w:rsidP="0039646C">
      <w:pPr>
        <w:rPr>
          <w:b/>
        </w:rPr>
      </w:pPr>
    </w:p>
    <w:p w:rsidR="00E24EF7" w:rsidRDefault="00E24EF7" w:rsidP="0039646C">
      <w:pPr>
        <w:rPr>
          <w:b/>
        </w:rPr>
      </w:pPr>
    </w:p>
    <w:p w:rsidR="007605A6" w:rsidRDefault="006B6475" w:rsidP="00F42D5F">
      <w:pPr>
        <w:pStyle w:val="Heading1"/>
        <w:numPr>
          <w:ilvl w:val="1"/>
          <w:numId w:val="1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A8543F">
        <w:rPr>
          <w:rFonts w:ascii="Arial" w:hAnsi="Arial" w:cs="Arial"/>
          <w:color w:val="auto"/>
          <w:sz w:val="22"/>
          <w:szCs w:val="22"/>
        </w:rPr>
        <w:lastRenderedPageBreak/>
        <w:t>Case A: Three</w:t>
      </w:r>
      <w:r w:rsidR="003B6E1F" w:rsidRPr="00A8543F">
        <w:rPr>
          <w:rFonts w:ascii="Arial" w:hAnsi="Arial" w:cs="Arial"/>
          <w:color w:val="auto"/>
          <w:sz w:val="22"/>
          <w:szCs w:val="22"/>
        </w:rPr>
        <w:t xml:space="preserve"> phase f</w:t>
      </w:r>
      <w:r w:rsidR="007605A6" w:rsidRPr="00A8543F">
        <w:rPr>
          <w:rFonts w:ascii="Arial" w:hAnsi="Arial" w:cs="Arial"/>
          <w:color w:val="auto"/>
          <w:sz w:val="22"/>
          <w:szCs w:val="22"/>
        </w:rPr>
        <w:t>ault at Landulph substation</w:t>
      </w:r>
      <w:r w:rsidR="00F07994" w:rsidRPr="00A8543F">
        <w:rPr>
          <w:rFonts w:ascii="Arial" w:hAnsi="Arial" w:cs="Arial"/>
          <w:color w:val="auto"/>
          <w:sz w:val="22"/>
          <w:szCs w:val="22"/>
        </w:rPr>
        <w:t xml:space="preserve"> on the line A83B toward Language</w:t>
      </w:r>
      <w:r w:rsidR="00522E68">
        <w:rPr>
          <w:rFonts w:ascii="Arial" w:hAnsi="Arial" w:cs="Arial"/>
          <w:color w:val="auto"/>
          <w:sz w:val="22"/>
          <w:szCs w:val="22"/>
        </w:rPr>
        <w:t xml:space="preserve">, with Language Power station on </w:t>
      </w:r>
      <w:r w:rsidR="00FB0985" w:rsidRPr="00A8543F">
        <w:rPr>
          <w:rFonts w:ascii="Arial" w:hAnsi="Arial" w:cs="Arial"/>
          <w:color w:val="auto"/>
          <w:sz w:val="22"/>
          <w:szCs w:val="22"/>
        </w:rPr>
        <w:t xml:space="preserve"> and monitored the changes at </w:t>
      </w:r>
      <w:r w:rsidR="002579C9" w:rsidRPr="00A8543F">
        <w:rPr>
          <w:rFonts w:ascii="Arial" w:hAnsi="Arial" w:cs="Arial"/>
          <w:color w:val="auto"/>
          <w:sz w:val="22"/>
          <w:szCs w:val="22"/>
        </w:rPr>
        <w:t xml:space="preserve">Landulph 400kV and 132kV, </w:t>
      </w:r>
      <w:r w:rsidR="00FB0985" w:rsidRPr="00A8543F">
        <w:rPr>
          <w:rFonts w:ascii="Arial" w:hAnsi="Arial" w:cs="Arial"/>
          <w:color w:val="auto"/>
          <w:sz w:val="22"/>
          <w:szCs w:val="22"/>
        </w:rPr>
        <w:t xml:space="preserve">Plymouth, </w:t>
      </w:r>
      <w:r w:rsidR="00EC260B" w:rsidRPr="00A8543F">
        <w:rPr>
          <w:rFonts w:ascii="Arial" w:hAnsi="Arial" w:cs="Arial"/>
          <w:color w:val="auto"/>
          <w:sz w:val="22"/>
          <w:szCs w:val="22"/>
        </w:rPr>
        <w:t>Hayle,</w:t>
      </w:r>
      <w:r w:rsidR="00FB0985" w:rsidRPr="00A8543F">
        <w:rPr>
          <w:rFonts w:ascii="Arial" w:hAnsi="Arial" w:cs="Arial"/>
          <w:color w:val="auto"/>
          <w:sz w:val="22"/>
          <w:szCs w:val="22"/>
        </w:rPr>
        <w:t xml:space="preserve"> Exmouth and Barnstaple</w:t>
      </w:r>
      <w:r w:rsidR="00FB0985" w:rsidRPr="00F42D5F">
        <w:rPr>
          <w:rFonts w:ascii="Arial" w:hAnsi="Arial" w:cs="Arial"/>
          <w:sz w:val="24"/>
          <w:szCs w:val="24"/>
        </w:rPr>
        <w:t>.</w:t>
      </w:r>
    </w:p>
    <w:p w:rsidR="006B6475" w:rsidRPr="006B6475" w:rsidRDefault="006B6475" w:rsidP="006B6475"/>
    <w:p w:rsidR="00D962C0" w:rsidRPr="006A7F01" w:rsidRDefault="00D962C0" w:rsidP="0039646C">
      <w:pPr>
        <w:rPr>
          <w:b/>
        </w:rPr>
      </w:pPr>
      <w:r>
        <w:rPr>
          <w:b/>
        </w:rPr>
        <w:t>Voltage Waveforms in Different Parts of the network</w:t>
      </w:r>
    </w:p>
    <w:p w:rsidR="000E472F" w:rsidRDefault="00E24EF7" w:rsidP="0039646C">
      <w:r>
        <w:rPr>
          <w:noProof/>
          <w:lang w:eastAsia="en-GB"/>
        </w:rPr>
        <w:drawing>
          <wp:inline distT="0" distB="0" distL="0" distR="0" wp14:anchorId="753AABBA" wp14:editId="637E2B41">
            <wp:extent cx="5731510" cy="4147997"/>
            <wp:effectExtent l="0" t="0" r="254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475" w:rsidRPr="00A8543F" w:rsidRDefault="006B6475" w:rsidP="006B6475">
      <w:pPr>
        <w:pStyle w:val="Heading1"/>
        <w:numPr>
          <w:ilvl w:val="1"/>
          <w:numId w:val="14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8543F">
        <w:rPr>
          <w:rFonts w:ascii="Arial" w:hAnsi="Arial" w:cs="Arial"/>
          <w:color w:val="auto"/>
          <w:sz w:val="22"/>
          <w:szCs w:val="22"/>
        </w:rPr>
        <w:t xml:space="preserve">Case B: </w:t>
      </w:r>
      <w:r w:rsidR="00522E68">
        <w:rPr>
          <w:rFonts w:ascii="Arial" w:hAnsi="Arial" w:cs="Arial"/>
          <w:color w:val="auto"/>
          <w:sz w:val="22"/>
          <w:szCs w:val="22"/>
        </w:rPr>
        <w:t xml:space="preserve">Repeat Case </w:t>
      </w:r>
      <w:r w:rsidR="004372E4">
        <w:rPr>
          <w:rFonts w:ascii="Arial" w:hAnsi="Arial" w:cs="Arial"/>
          <w:color w:val="auto"/>
          <w:sz w:val="22"/>
          <w:szCs w:val="22"/>
        </w:rPr>
        <w:t xml:space="preserve">A </w:t>
      </w:r>
      <w:r w:rsidR="004372E4" w:rsidRPr="00A8543F">
        <w:rPr>
          <w:rFonts w:ascii="Arial" w:hAnsi="Arial" w:cs="Arial"/>
          <w:color w:val="auto"/>
          <w:sz w:val="22"/>
          <w:szCs w:val="22"/>
        </w:rPr>
        <w:t>with</w:t>
      </w:r>
      <w:r w:rsidRPr="00A8543F">
        <w:rPr>
          <w:rFonts w:ascii="Arial" w:hAnsi="Arial" w:cs="Arial"/>
          <w:color w:val="auto"/>
          <w:sz w:val="22"/>
          <w:szCs w:val="22"/>
        </w:rPr>
        <w:t xml:space="preserve"> Language Power Station switched off</w:t>
      </w:r>
    </w:p>
    <w:p w:rsidR="00F50875" w:rsidRPr="00A8543F" w:rsidRDefault="00F42D5F" w:rsidP="006B6475">
      <w:pPr>
        <w:pStyle w:val="Heading1"/>
        <w:numPr>
          <w:ilvl w:val="1"/>
          <w:numId w:val="14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8543F">
        <w:rPr>
          <w:rFonts w:ascii="Arial" w:hAnsi="Arial" w:cs="Arial"/>
          <w:color w:val="auto"/>
          <w:sz w:val="22"/>
          <w:szCs w:val="22"/>
        </w:rPr>
        <w:t xml:space="preserve"> </w:t>
      </w:r>
      <w:r w:rsidR="00272127" w:rsidRPr="00A8543F">
        <w:rPr>
          <w:rFonts w:ascii="Arial" w:hAnsi="Arial" w:cs="Arial"/>
          <w:color w:val="auto"/>
          <w:sz w:val="22"/>
          <w:szCs w:val="22"/>
        </w:rPr>
        <w:t xml:space="preserve">Case B involve switching </w:t>
      </w:r>
      <w:r w:rsidR="00341EAF" w:rsidRPr="00A8543F">
        <w:rPr>
          <w:rFonts w:ascii="Arial" w:hAnsi="Arial" w:cs="Arial"/>
          <w:color w:val="auto"/>
          <w:sz w:val="22"/>
          <w:szCs w:val="22"/>
        </w:rPr>
        <w:t xml:space="preserve">out </w:t>
      </w:r>
      <w:r w:rsidR="00002730" w:rsidRPr="00A8543F">
        <w:rPr>
          <w:rFonts w:ascii="Arial" w:hAnsi="Arial" w:cs="Arial"/>
          <w:color w:val="auto"/>
          <w:sz w:val="22"/>
          <w:szCs w:val="22"/>
        </w:rPr>
        <w:t xml:space="preserve">a generator at </w:t>
      </w:r>
      <w:r w:rsidR="00657AA1" w:rsidRPr="00A8543F">
        <w:rPr>
          <w:rFonts w:ascii="Arial" w:hAnsi="Arial" w:cs="Arial"/>
          <w:color w:val="auto"/>
          <w:sz w:val="22"/>
          <w:szCs w:val="22"/>
        </w:rPr>
        <w:t xml:space="preserve">Language </w:t>
      </w:r>
    </w:p>
    <w:p w:rsidR="006B6475" w:rsidRDefault="00341EAF" w:rsidP="001462CA">
      <w:pPr>
        <w:pStyle w:val="Heading1"/>
        <w:numPr>
          <w:ilvl w:val="1"/>
          <w:numId w:val="14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315D81">
        <w:rPr>
          <w:rFonts w:ascii="Arial" w:hAnsi="Arial" w:cs="Arial"/>
          <w:color w:val="auto"/>
          <w:sz w:val="22"/>
          <w:szCs w:val="22"/>
        </w:rPr>
        <w:t xml:space="preserve">Case </w:t>
      </w:r>
      <w:r w:rsidR="006B6475" w:rsidRPr="00315D81">
        <w:rPr>
          <w:rFonts w:ascii="Arial" w:hAnsi="Arial" w:cs="Arial"/>
          <w:color w:val="auto"/>
          <w:sz w:val="22"/>
          <w:szCs w:val="22"/>
        </w:rPr>
        <w:t>D</w:t>
      </w:r>
      <w:r w:rsidRPr="00315D81">
        <w:rPr>
          <w:rFonts w:ascii="Arial" w:hAnsi="Arial" w:cs="Arial"/>
          <w:color w:val="auto"/>
          <w:sz w:val="22"/>
          <w:szCs w:val="22"/>
        </w:rPr>
        <w:t xml:space="preserve"> involves switching out a transformer at Landulph 400kV </w:t>
      </w:r>
    </w:p>
    <w:p w:rsidR="00315D81" w:rsidRDefault="00315D81" w:rsidP="00315D81"/>
    <w:p w:rsidR="00315D81" w:rsidRDefault="00315D81" w:rsidP="00315D81"/>
    <w:p w:rsidR="00E856F4" w:rsidRPr="00315D81" w:rsidRDefault="00E856F4" w:rsidP="00315D81"/>
    <w:p w:rsidR="00A8543F" w:rsidRDefault="00A8543F" w:rsidP="006B6475"/>
    <w:p w:rsidR="006B6475" w:rsidRDefault="006B6475" w:rsidP="006B6475"/>
    <w:p w:rsidR="006B6475" w:rsidRPr="006B6475" w:rsidRDefault="006B6475" w:rsidP="006B6475"/>
    <w:p w:rsidR="00657AA1" w:rsidRDefault="00341EAF" w:rsidP="002B52D8">
      <w:pPr>
        <w:pStyle w:val="Heading1"/>
        <w:numPr>
          <w:ilvl w:val="0"/>
          <w:numId w:val="0"/>
        </w:numPr>
        <w:ind w:left="432" w:hanging="432"/>
        <w:jc w:val="both"/>
        <w:rPr>
          <w:rFonts w:ascii="Arial" w:hAnsi="Arial" w:cs="Arial"/>
          <w:color w:val="auto"/>
          <w:sz w:val="24"/>
          <w:szCs w:val="24"/>
        </w:rPr>
      </w:pPr>
      <w:r w:rsidRPr="006B6475">
        <w:rPr>
          <w:rFonts w:ascii="Arial" w:hAnsi="Arial" w:cs="Arial"/>
          <w:color w:val="auto"/>
          <w:sz w:val="24"/>
          <w:szCs w:val="24"/>
        </w:rPr>
        <w:lastRenderedPageBreak/>
        <w:t xml:space="preserve">Below is a summary of the result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258"/>
        <w:gridCol w:w="1597"/>
        <w:gridCol w:w="1597"/>
        <w:gridCol w:w="1597"/>
        <w:gridCol w:w="1597"/>
      </w:tblGrid>
      <w:tr w:rsidR="007E42D9" w:rsidRPr="007E42D9" w:rsidTr="00DD45B7">
        <w:trPr>
          <w:trHeight w:val="315"/>
        </w:trPr>
        <w:tc>
          <w:tcPr>
            <w:tcW w:w="1596" w:type="dxa"/>
            <w:noWrap/>
            <w:hideMark/>
          </w:tcPr>
          <w:p w:rsidR="007E42D9" w:rsidRPr="007E42D9" w:rsidRDefault="007E42D9" w:rsidP="007E42D9">
            <w:r w:rsidRPr="007E42D9">
              <w:t> 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 w:rsidP="007E42D9">
            <w:r w:rsidRPr="007E42D9">
              <w:t> </w:t>
            </w:r>
          </w:p>
        </w:tc>
        <w:tc>
          <w:tcPr>
            <w:tcW w:w="1597" w:type="dxa"/>
            <w:noWrap/>
            <w:hideMark/>
          </w:tcPr>
          <w:p w:rsidR="007E42D9" w:rsidRPr="0076625B" w:rsidRDefault="007E42D9" w:rsidP="007E42D9">
            <w:pPr>
              <w:rPr>
                <w:b/>
              </w:rPr>
            </w:pPr>
            <w:r w:rsidRPr="0076625B">
              <w:rPr>
                <w:b/>
              </w:rPr>
              <w:t>Case A</w:t>
            </w:r>
          </w:p>
        </w:tc>
        <w:tc>
          <w:tcPr>
            <w:tcW w:w="1597" w:type="dxa"/>
            <w:noWrap/>
            <w:hideMark/>
          </w:tcPr>
          <w:p w:rsidR="007E42D9" w:rsidRPr="0076625B" w:rsidRDefault="007E42D9" w:rsidP="007E42D9">
            <w:pPr>
              <w:rPr>
                <w:b/>
              </w:rPr>
            </w:pPr>
            <w:r w:rsidRPr="0076625B">
              <w:rPr>
                <w:b/>
              </w:rPr>
              <w:t>Case B</w:t>
            </w:r>
          </w:p>
        </w:tc>
        <w:tc>
          <w:tcPr>
            <w:tcW w:w="1597" w:type="dxa"/>
            <w:noWrap/>
            <w:hideMark/>
          </w:tcPr>
          <w:p w:rsidR="007E42D9" w:rsidRPr="0076625B" w:rsidRDefault="007E42D9" w:rsidP="007E42D9">
            <w:pPr>
              <w:rPr>
                <w:b/>
              </w:rPr>
            </w:pPr>
            <w:r w:rsidRPr="0076625B">
              <w:rPr>
                <w:b/>
              </w:rPr>
              <w:t>Case C</w:t>
            </w:r>
          </w:p>
        </w:tc>
        <w:tc>
          <w:tcPr>
            <w:tcW w:w="1597" w:type="dxa"/>
            <w:noWrap/>
            <w:hideMark/>
          </w:tcPr>
          <w:p w:rsidR="007E42D9" w:rsidRPr="0076625B" w:rsidRDefault="007E42D9" w:rsidP="007E42D9">
            <w:pPr>
              <w:rPr>
                <w:b/>
              </w:rPr>
            </w:pPr>
            <w:r w:rsidRPr="0076625B">
              <w:rPr>
                <w:b/>
              </w:rPr>
              <w:t>Case D</w:t>
            </w:r>
          </w:p>
          <w:p w:rsidR="002B52D8" w:rsidRPr="0076625B" w:rsidRDefault="002B52D8" w:rsidP="007E42D9">
            <w:pPr>
              <w:rPr>
                <w:b/>
              </w:rPr>
            </w:pPr>
          </w:p>
        </w:tc>
      </w:tr>
      <w:tr w:rsidR="007E42D9" w:rsidRPr="007E42D9" w:rsidTr="00DD45B7">
        <w:trPr>
          <w:trHeight w:val="615"/>
        </w:trPr>
        <w:tc>
          <w:tcPr>
            <w:tcW w:w="1596" w:type="dxa"/>
            <w:hideMark/>
          </w:tcPr>
          <w:p w:rsidR="007E42D9" w:rsidRPr="007E42D9" w:rsidRDefault="007E42D9" w:rsidP="007E42D9">
            <w:r w:rsidRPr="007E42D9">
              <w:t>Substation</w:t>
            </w:r>
          </w:p>
        </w:tc>
        <w:tc>
          <w:tcPr>
            <w:tcW w:w="1258" w:type="dxa"/>
            <w:hideMark/>
          </w:tcPr>
          <w:p w:rsidR="007E42D9" w:rsidRPr="007E42D9" w:rsidRDefault="007E42D9" w:rsidP="007E42D9">
            <w:r w:rsidRPr="007E42D9">
              <w:t xml:space="preserve">Busbar short Name </w:t>
            </w:r>
          </w:p>
        </w:tc>
        <w:tc>
          <w:tcPr>
            <w:tcW w:w="1597" w:type="dxa"/>
            <w:hideMark/>
          </w:tcPr>
          <w:p w:rsidR="007E42D9" w:rsidRPr="007E42D9" w:rsidRDefault="007E42D9">
            <w:r w:rsidRPr="007E42D9">
              <w:t>Change in angle</w:t>
            </w:r>
          </w:p>
        </w:tc>
        <w:tc>
          <w:tcPr>
            <w:tcW w:w="1597" w:type="dxa"/>
            <w:hideMark/>
          </w:tcPr>
          <w:p w:rsidR="007E42D9" w:rsidRPr="007E42D9" w:rsidRDefault="007E42D9">
            <w:r w:rsidRPr="007E42D9">
              <w:t>Change in angle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>
            <w:r w:rsidRPr="007E42D9">
              <w:t>Change in angle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>
            <w:r w:rsidRPr="007E42D9">
              <w:t>Change in angle</w:t>
            </w:r>
          </w:p>
        </w:tc>
      </w:tr>
      <w:tr w:rsidR="007E42D9" w:rsidRPr="007E42D9" w:rsidTr="00DD45B7">
        <w:trPr>
          <w:trHeight w:val="300"/>
        </w:trPr>
        <w:tc>
          <w:tcPr>
            <w:tcW w:w="1596" w:type="dxa"/>
            <w:noWrap/>
            <w:hideMark/>
          </w:tcPr>
          <w:p w:rsidR="007E42D9" w:rsidRPr="007E42D9" w:rsidRDefault="007E42D9">
            <w:r w:rsidRPr="007E42D9">
              <w:t>Landulph 400kV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>
            <w:r w:rsidRPr="007E42D9">
              <w:t>LAND4 MC2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57.418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61.163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1.453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0.017</w:t>
            </w:r>
          </w:p>
        </w:tc>
      </w:tr>
      <w:tr w:rsidR="007E42D9" w:rsidRPr="007E42D9" w:rsidTr="00DD45B7">
        <w:trPr>
          <w:trHeight w:val="300"/>
        </w:trPr>
        <w:tc>
          <w:tcPr>
            <w:tcW w:w="1596" w:type="dxa"/>
            <w:noWrap/>
            <w:hideMark/>
          </w:tcPr>
          <w:p w:rsidR="007E42D9" w:rsidRPr="007E42D9" w:rsidRDefault="007E42D9">
            <w:r w:rsidRPr="007E42D9">
              <w:t>Landulph 132kV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>
            <w:r w:rsidRPr="007E42D9">
              <w:t>LAND1 R1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32.973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36.295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1.436</w:t>
            </w:r>
          </w:p>
        </w:tc>
        <w:tc>
          <w:tcPr>
            <w:tcW w:w="1597" w:type="dxa"/>
            <w:noWrap/>
            <w:hideMark/>
          </w:tcPr>
          <w:p w:rsidR="007E42D9" w:rsidRPr="00315D81" w:rsidRDefault="007E42D9" w:rsidP="007E42D9">
            <w:pPr>
              <w:rPr>
                <w:b/>
              </w:rPr>
            </w:pPr>
            <w:r w:rsidRPr="00315D81">
              <w:rPr>
                <w:b/>
              </w:rPr>
              <w:t>5.633</w:t>
            </w:r>
          </w:p>
        </w:tc>
      </w:tr>
      <w:tr w:rsidR="007E42D9" w:rsidRPr="007E42D9" w:rsidTr="00DD45B7">
        <w:trPr>
          <w:trHeight w:val="300"/>
        </w:trPr>
        <w:tc>
          <w:tcPr>
            <w:tcW w:w="1596" w:type="dxa"/>
            <w:noWrap/>
            <w:hideMark/>
          </w:tcPr>
          <w:p w:rsidR="007E42D9" w:rsidRPr="007E42D9" w:rsidRDefault="007E42D9">
            <w:r w:rsidRPr="007E42D9">
              <w:t>Plymouth 33kV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>
            <w:r w:rsidRPr="007E42D9">
              <w:t>PLYM31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25.291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24.063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1.230</w:t>
            </w:r>
          </w:p>
        </w:tc>
        <w:tc>
          <w:tcPr>
            <w:tcW w:w="1597" w:type="dxa"/>
            <w:noWrap/>
            <w:hideMark/>
          </w:tcPr>
          <w:p w:rsidR="007E42D9" w:rsidRDefault="007E42D9" w:rsidP="007E42D9">
            <w:r w:rsidRPr="007E42D9">
              <w:t>0.130</w:t>
            </w:r>
          </w:p>
          <w:p w:rsidR="0076625B" w:rsidRPr="007E42D9" w:rsidRDefault="0076625B" w:rsidP="007E42D9"/>
        </w:tc>
      </w:tr>
      <w:tr w:rsidR="007E42D9" w:rsidRPr="007E42D9" w:rsidTr="00DD45B7">
        <w:trPr>
          <w:trHeight w:val="300"/>
        </w:trPr>
        <w:tc>
          <w:tcPr>
            <w:tcW w:w="1596" w:type="dxa"/>
            <w:noWrap/>
            <w:hideMark/>
          </w:tcPr>
          <w:p w:rsidR="007E42D9" w:rsidRPr="007E42D9" w:rsidRDefault="007E42D9">
            <w:r w:rsidRPr="007E42D9">
              <w:t>Hayle 33kV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>
            <w:r w:rsidRPr="007E42D9">
              <w:t>HAYL31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32.366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32.584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1.299</w:t>
            </w:r>
          </w:p>
        </w:tc>
        <w:tc>
          <w:tcPr>
            <w:tcW w:w="1597" w:type="dxa"/>
            <w:noWrap/>
            <w:hideMark/>
          </w:tcPr>
          <w:p w:rsidR="007E42D9" w:rsidRDefault="007E42D9" w:rsidP="007E42D9">
            <w:r w:rsidRPr="007E42D9">
              <w:t>0.580</w:t>
            </w:r>
          </w:p>
          <w:p w:rsidR="0076625B" w:rsidRPr="007E42D9" w:rsidRDefault="0076625B" w:rsidP="007E42D9"/>
        </w:tc>
      </w:tr>
      <w:tr w:rsidR="007E42D9" w:rsidRPr="007E42D9" w:rsidTr="00DD45B7">
        <w:trPr>
          <w:trHeight w:val="300"/>
        </w:trPr>
        <w:tc>
          <w:tcPr>
            <w:tcW w:w="1596" w:type="dxa"/>
            <w:noWrap/>
            <w:hideMark/>
          </w:tcPr>
          <w:p w:rsidR="007E42D9" w:rsidRPr="007E42D9" w:rsidRDefault="007E42D9">
            <w:r w:rsidRPr="007E42D9">
              <w:t>Exmouth 33kV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>
            <w:r w:rsidRPr="007E42D9">
              <w:t>EXMO31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14.792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13.027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0.997</w:t>
            </w:r>
          </w:p>
        </w:tc>
        <w:tc>
          <w:tcPr>
            <w:tcW w:w="1597" w:type="dxa"/>
            <w:noWrap/>
            <w:hideMark/>
          </w:tcPr>
          <w:p w:rsidR="007E42D9" w:rsidRDefault="007E42D9" w:rsidP="007E42D9">
            <w:r w:rsidRPr="007E42D9">
              <w:t>0.025</w:t>
            </w:r>
          </w:p>
          <w:p w:rsidR="0076625B" w:rsidRPr="007E42D9" w:rsidRDefault="0076625B" w:rsidP="007E42D9"/>
        </w:tc>
      </w:tr>
      <w:tr w:rsidR="007E42D9" w:rsidRPr="007E42D9" w:rsidTr="00DD45B7">
        <w:trPr>
          <w:trHeight w:val="300"/>
        </w:trPr>
        <w:tc>
          <w:tcPr>
            <w:tcW w:w="1596" w:type="dxa"/>
            <w:noWrap/>
            <w:hideMark/>
          </w:tcPr>
          <w:p w:rsidR="007E42D9" w:rsidRPr="007E42D9" w:rsidRDefault="007E42D9">
            <w:r w:rsidRPr="007E42D9">
              <w:t>Barnstaple 33kV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>
            <w:r w:rsidRPr="007E42D9">
              <w:t>BAST31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17.940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15.796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1.037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0.349</w:t>
            </w:r>
          </w:p>
        </w:tc>
      </w:tr>
      <w:tr w:rsidR="007E42D9" w:rsidRPr="007E42D9" w:rsidTr="00DD45B7">
        <w:trPr>
          <w:trHeight w:val="315"/>
        </w:trPr>
        <w:tc>
          <w:tcPr>
            <w:tcW w:w="1596" w:type="dxa"/>
            <w:noWrap/>
            <w:hideMark/>
          </w:tcPr>
          <w:p w:rsidR="007E42D9" w:rsidRPr="007E42D9" w:rsidRDefault="007E42D9">
            <w:r w:rsidRPr="007E42D9">
              <w:t>Langage 400kV</w:t>
            </w:r>
          </w:p>
        </w:tc>
        <w:tc>
          <w:tcPr>
            <w:tcW w:w="1258" w:type="dxa"/>
            <w:noWrap/>
            <w:hideMark/>
          </w:tcPr>
          <w:p w:rsidR="007E42D9" w:rsidRPr="007E42D9" w:rsidRDefault="007E42D9">
            <w:r w:rsidRPr="007E42D9">
              <w:t>LAGA4 M1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33.294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38.451</w:t>
            </w:r>
          </w:p>
        </w:tc>
        <w:tc>
          <w:tcPr>
            <w:tcW w:w="1597" w:type="dxa"/>
            <w:noWrap/>
            <w:hideMark/>
          </w:tcPr>
          <w:p w:rsidR="007E42D9" w:rsidRPr="007E42D9" w:rsidRDefault="007E42D9" w:rsidP="007E42D9">
            <w:r w:rsidRPr="007E42D9">
              <w:t>1.514</w:t>
            </w:r>
          </w:p>
        </w:tc>
        <w:tc>
          <w:tcPr>
            <w:tcW w:w="1597" w:type="dxa"/>
            <w:noWrap/>
            <w:hideMark/>
          </w:tcPr>
          <w:p w:rsidR="007E42D9" w:rsidRDefault="007E42D9" w:rsidP="007E42D9">
            <w:r w:rsidRPr="007E42D9">
              <w:t>-0.201</w:t>
            </w:r>
          </w:p>
          <w:p w:rsidR="0076625B" w:rsidRPr="007E42D9" w:rsidRDefault="0076625B" w:rsidP="007E42D9"/>
        </w:tc>
      </w:tr>
    </w:tbl>
    <w:p w:rsidR="00032525" w:rsidRDefault="00032525" w:rsidP="0039646C"/>
    <w:p w:rsidR="002105F8" w:rsidRDefault="002105F8" w:rsidP="00B124D6">
      <w:pPr>
        <w:jc w:val="both"/>
      </w:pPr>
      <w:r>
        <w:t xml:space="preserve">From the above, </w:t>
      </w:r>
      <w:r w:rsidRPr="004B622B">
        <w:rPr>
          <w:b/>
        </w:rPr>
        <w:t>Case A</w:t>
      </w:r>
      <w:r>
        <w:t xml:space="preserve"> and </w:t>
      </w:r>
      <w:r w:rsidR="004B622B" w:rsidRPr="004B622B">
        <w:rPr>
          <w:b/>
        </w:rPr>
        <w:t xml:space="preserve">Case </w:t>
      </w:r>
      <w:r w:rsidRPr="004B622B">
        <w:rPr>
          <w:b/>
        </w:rPr>
        <w:t>B</w:t>
      </w:r>
      <w:r>
        <w:t xml:space="preserve"> result is a significant change in the voltage angle.  </w:t>
      </w:r>
      <w:r w:rsidR="00B60F12">
        <w:t xml:space="preserve">When </w:t>
      </w:r>
      <w:r>
        <w:t xml:space="preserve">Language Power Station is out, </w:t>
      </w:r>
      <w:r w:rsidR="00B60F12">
        <w:t>the</w:t>
      </w:r>
      <w:r>
        <w:t xml:space="preserve"> vector shift is higher</w:t>
      </w:r>
      <w:r w:rsidR="00B60F12">
        <w:t xml:space="preserve"> as the fault level   at the point of fault decreases.</w:t>
      </w:r>
    </w:p>
    <w:p w:rsidR="00217128" w:rsidRPr="00217128" w:rsidRDefault="00217128" w:rsidP="00217128">
      <w:pPr>
        <w:pStyle w:val="ListParagraph"/>
        <w:keepNext/>
        <w:keepLines/>
        <w:numPr>
          <w:ilvl w:val="0"/>
          <w:numId w:val="14"/>
        </w:numPr>
        <w:spacing w:before="480" w:after="0"/>
        <w:contextualSpacing w:val="0"/>
        <w:jc w:val="both"/>
        <w:outlineLvl w:val="0"/>
        <w:rPr>
          <w:rFonts w:ascii="Arial" w:eastAsiaTheme="majorEastAsia" w:hAnsi="Arial" w:cs="Arial"/>
          <w:b/>
          <w:bCs/>
          <w:vanish/>
          <w:color w:val="365F91" w:themeColor="accent1" w:themeShade="BF"/>
          <w:sz w:val="28"/>
          <w:szCs w:val="28"/>
        </w:rPr>
      </w:pPr>
    </w:p>
    <w:p w:rsidR="000612A0" w:rsidRPr="00217128" w:rsidRDefault="002579C9" w:rsidP="00217128">
      <w:pPr>
        <w:pStyle w:val="Heading1"/>
        <w:numPr>
          <w:ilvl w:val="1"/>
          <w:numId w:val="14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217128">
        <w:rPr>
          <w:rFonts w:ascii="Arial" w:hAnsi="Arial" w:cs="Arial"/>
          <w:color w:val="auto"/>
          <w:sz w:val="22"/>
          <w:szCs w:val="22"/>
        </w:rPr>
        <w:t xml:space="preserve">Three phase Fault at </w:t>
      </w:r>
      <w:r w:rsidR="007C45AF" w:rsidRPr="00217128">
        <w:rPr>
          <w:rFonts w:ascii="Arial" w:hAnsi="Arial" w:cs="Arial"/>
          <w:color w:val="auto"/>
          <w:sz w:val="22"/>
          <w:szCs w:val="22"/>
        </w:rPr>
        <w:t xml:space="preserve">Pentir </w:t>
      </w:r>
      <w:r w:rsidRPr="00217128">
        <w:rPr>
          <w:rFonts w:ascii="Arial" w:hAnsi="Arial" w:cs="Arial"/>
          <w:color w:val="auto"/>
          <w:sz w:val="22"/>
          <w:szCs w:val="22"/>
        </w:rPr>
        <w:t xml:space="preserve">substation on the </w:t>
      </w:r>
      <w:r w:rsidR="005C3BD1" w:rsidRPr="00217128">
        <w:rPr>
          <w:rFonts w:ascii="Arial" w:hAnsi="Arial" w:cs="Arial"/>
          <w:color w:val="auto"/>
          <w:sz w:val="22"/>
          <w:szCs w:val="22"/>
        </w:rPr>
        <w:t>circuit 2,</w:t>
      </w:r>
      <w:r w:rsidRPr="00217128">
        <w:rPr>
          <w:rFonts w:ascii="Arial" w:hAnsi="Arial" w:cs="Arial"/>
          <w:color w:val="auto"/>
          <w:sz w:val="22"/>
          <w:szCs w:val="22"/>
        </w:rPr>
        <w:t xml:space="preserve"> </w:t>
      </w:r>
      <w:r w:rsidR="005C3BD1" w:rsidRPr="00217128">
        <w:rPr>
          <w:rFonts w:ascii="Arial" w:hAnsi="Arial" w:cs="Arial"/>
          <w:color w:val="auto"/>
          <w:sz w:val="22"/>
          <w:szCs w:val="22"/>
        </w:rPr>
        <w:t>A256,</w:t>
      </w:r>
      <w:r w:rsidRPr="00217128">
        <w:rPr>
          <w:rFonts w:ascii="Arial" w:hAnsi="Arial" w:cs="Arial"/>
          <w:color w:val="auto"/>
          <w:sz w:val="22"/>
          <w:szCs w:val="22"/>
        </w:rPr>
        <w:t xml:space="preserve"> toward</w:t>
      </w:r>
      <w:r w:rsidR="005C3BD1" w:rsidRPr="00217128">
        <w:rPr>
          <w:rFonts w:ascii="Arial" w:hAnsi="Arial" w:cs="Arial"/>
          <w:color w:val="auto"/>
          <w:sz w:val="22"/>
          <w:szCs w:val="22"/>
        </w:rPr>
        <w:t xml:space="preserve"> Wylfa</w:t>
      </w:r>
      <w:r w:rsidRPr="00217128">
        <w:rPr>
          <w:rFonts w:ascii="Arial" w:hAnsi="Arial" w:cs="Arial"/>
          <w:color w:val="auto"/>
          <w:sz w:val="22"/>
          <w:szCs w:val="22"/>
        </w:rPr>
        <w:t xml:space="preserve"> and </w:t>
      </w:r>
      <w:r w:rsidR="005C3BD1" w:rsidRPr="00217128">
        <w:rPr>
          <w:rFonts w:ascii="Arial" w:hAnsi="Arial" w:cs="Arial"/>
          <w:color w:val="auto"/>
          <w:sz w:val="22"/>
          <w:szCs w:val="22"/>
        </w:rPr>
        <w:t>vector shift was monitored at the following substations.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2552"/>
        <w:gridCol w:w="2551"/>
      </w:tblGrid>
      <w:tr w:rsidR="00532FE0" w:rsidRPr="00532FE0" w:rsidTr="003821A9">
        <w:trPr>
          <w:trHeight w:val="60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2FE0" w:rsidRPr="00532FE0" w:rsidRDefault="00532FE0" w:rsidP="007C4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Substation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2FE0" w:rsidRPr="00532FE0" w:rsidRDefault="00532FE0" w:rsidP="007C4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Busbar short Name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2FE0" w:rsidRPr="00532FE0" w:rsidRDefault="00532FE0" w:rsidP="007C4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Change in angle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Pentir 400kV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PENT4 M1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50.37088688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Pentir 132kV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PENT1 M2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38.02289024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Caernarvon 33kV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CANA31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40.00634941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Rhyl Flats 132kV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RHYF11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28.95458762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Dolgarrog 33kV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DOLG31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31.75623118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Wylfa 132kV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WYLF1 R2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49.90373662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Wylfa 400kV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WYLF4 R2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50.32591458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Wylfa 132kV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WYLF1 M1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49.90373662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Trawsfynydd 400kV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TRAW4 MC2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31.75954547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Trawsfynydd 132kV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TRAW1 R1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27.8461986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Maentwrog 33kV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MAEN31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28.9396674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Cwm Dyli 33kV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CWMD31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28.79272107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Deeside 400kV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DEES4 R2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22.70928399</w:t>
            </w:r>
          </w:p>
        </w:tc>
      </w:tr>
      <w:tr w:rsidR="00532FE0" w:rsidRPr="00532FE0" w:rsidTr="003821A9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Connahs Quay 132kV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CONQ1 R2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24.19520133</w:t>
            </w:r>
          </w:p>
        </w:tc>
      </w:tr>
      <w:tr w:rsidR="00532FE0" w:rsidRPr="00532FE0" w:rsidTr="003821A9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Dinorwig 400kV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2FE0" w:rsidRPr="00532FE0" w:rsidRDefault="005A604D" w:rsidP="005A6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DINO4R3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2FE0" w:rsidRPr="00532FE0" w:rsidRDefault="00532FE0" w:rsidP="00532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32FE0">
              <w:rPr>
                <w:rFonts w:ascii="Calibri" w:eastAsia="Times New Roman" w:hAnsi="Calibri" w:cs="Calibri"/>
                <w:color w:val="000000"/>
                <w:lang w:eastAsia="en-GB"/>
              </w:rPr>
              <w:t>46.73011039</w:t>
            </w:r>
          </w:p>
        </w:tc>
      </w:tr>
    </w:tbl>
    <w:p w:rsidR="00532FE0" w:rsidRDefault="00532FE0" w:rsidP="0039646C"/>
    <w:p w:rsidR="0006202E" w:rsidRDefault="0006202E" w:rsidP="0039646C"/>
    <w:p w:rsidR="00DD45B7" w:rsidRDefault="00DD45B7" w:rsidP="0039646C"/>
    <w:p w:rsidR="0006202E" w:rsidRPr="00007F7C" w:rsidRDefault="00DF6AEE" w:rsidP="0039646C">
      <w:pPr>
        <w:rPr>
          <w:b/>
        </w:rPr>
      </w:pPr>
      <w:r w:rsidRPr="00007F7C">
        <w:rPr>
          <w:b/>
        </w:rPr>
        <w:t xml:space="preserve">Further actions </w:t>
      </w:r>
    </w:p>
    <w:p w:rsidR="00DF6AEE" w:rsidRDefault="00DF6AEE" w:rsidP="00B67A5E">
      <w:pPr>
        <w:pStyle w:val="ListParagraph"/>
        <w:numPr>
          <w:ilvl w:val="0"/>
          <w:numId w:val="7"/>
        </w:numPr>
        <w:jc w:val="both"/>
      </w:pPr>
      <w:r>
        <w:t>Carry out the same simulations using a</w:t>
      </w:r>
      <w:r w:rsidR="008B6412">
        <w:t>nother s</w:t>
      </w:r>
      <w:r w:rsidR="00222772">
        <w:t xml:space="preserve">cenario e.g. winter peak </w:t>
      </w:r>
    </w:p>
    <w:p w:rsidR="00DF6AEE" w:rsidRDefault="00DF6AEE" w:rsidP="00B67A5E">
      <w:pPr>
        <w:pStyle w:val="ListParagraph"/>
        <w:numPr>
          <w:ilvl w:val="0"/>
          <w:numId w:val="7"/>
        </w:numPr>
        <w:jc w:val="both"/>
      </w:pPr>
      <w:r>
        <w:t xml:space="preserve">Replicate studies for a </w:t>
      </w:r>
      <w:r w:rsidR="002C3CB3">
        <w:t xml:space="preserve">different </w:t>
      </w:r>
      <w:r w:rsidR="00B83D58">
        <w:t>generation mix</w:t>
      </w:r>
      <w:r>
        <w:t xml:space="preserve"> </w:t>
      </w:r>
    </w:p>
    <w:p w:rsidR="00335C8E" w:rsidRDefault="00335C8E" w:rsidP="00B67A5E">
      <w:pPr>
        <w:pStyle w:val="ListParagraph"/>
        <w:numPr>
          <w:ilvl w:val="0"/>
          <w:numId w:val="7"/>
        </w:numPr>
        <w:jc w:val="both"/>
      </w:pPr>
      <w:r>
        <w:t>Analyse the impact of QB switching</w:t>
      </w:r>
    </w:p>
    <w:p w:rsidR="00DF6AEE" w:rsidRDefault="00DF6AEE" w:rsidP="00B67A5E">
      <w:pPr>
        <w:pStyle w:val="ListParagraph"/>
        <w:numPr>
          <w:ilvl w:val="0"/>
          <w:numId w:val="7"/>
        </w:numPr>
        <w:jc w:val="both"/>
      </w:pPr>
      <w:r w:rsidRPr="00853137">
        <w:t>Carry out more simulation</w:t>
      </w:r>
      <w:r w:rsidR="00085C03" w:rsidRPr="00853137">
        <w:t>s</w:t>
      </w:r>
      <w:r w:rsidRPr="00853137">
        <w:t xml:space="preserve"> for different DNO sites </w:t>
      </w:r>
    </w:p>
    <w:p w:rsidR="009B3AA4" w:rsidRDefault="009B3AA4" w:rsidP="009B3AA4">
      <w:pPr>
        <w:jc w:val="both"/>
      </w:pPr>
    </w:p>
    <w:p w:rsidR="00E403B8" w:rsidRDefault="009B3AA4" w:rsidP="009B3AA4">
      <w:pPr>
        <w:jc w:val="both"/>
        <w:rPr>
          <w:b/>
        </w:rPr>
      </w:pPr>
      <w:r w:rsidRPr="009B3AA4">
        <w:rPr>
          <w:b/>
        </w:rPr>
        <w:t>Questions asked by the Workgroup for further assessment</w:t>
      </w:r>
    </w:p>
    <w:p w:rsidR="00E403B8" w:rsidRPr="009B3AA4" w:rsidRDefault="00323CEB" w:rsidP="009B3AA4">
      <w:pPr>
        <w:jc w:val="both"/>
        <w:rPr>
          <w:b/>
        </w:rPr>
      </w:pPr>
      <w:r>
        <w:rPr>
          <w:b/>
        </w:rPr>
        <w:t>For EMT Studies</w:t>
      </w:r>
    </w:p>
    <w:p w:rsidR="009B3AA4" w:rsidRDefault="009B3AA4" w:rsidP="009B3AA4">
      <w:pPr>
        <w:pStyle w:val="ListParagraph"/>
        <w:numPr>
          <w:ilvl w:val="0"/>
          <w:numId w:val="25"/>
        </w:numPr>
        <w:jc w:val="both"/>
      </w:pPr>
      <w:r>
        <w:t xml:space="preserve">Voltage </w:t>
      </w:r>
      <w:r w:rsidR="00E403B8">
        <w:t>waveform</w:t>
      </w:r>
      <w:r w:rsidR="00323CEB">
        <w:t>s for EMT and RMS studies, for comparison purposes,</w:t>
      </w:r>
      <w:r>
        <w:t xml:space="preserve"> to be sent out </w:t>
      </w:r>
    </w:p>
    <w:p w:rsidR="009B3AA4" w:rsidRDefault="009B3AA4" w:rsidP="009B3AA4">
      <w:pPr>
        <w:pStyle w:val="ListParagraph"/>
        <w:numPr>
          <w:ilvl w:val="0"/>
          <w:numId w:val="25"/>
        </w:numPr>
        <w:jc w:val="both"/>
      </w:pPr>
      <w:r>
        <w:t xml:space="preserve">Include information about </w:t>
      </w:r>
      <w:r w:rsidR="00323CEB">
        <w:t xml:space="preserve">angle </w:t>
      </w:r>
      <w:r w:rsidR="00E403B8">
        <w:t xml:space="preserve">comparisons </w:t>
      </w:r>
      <w:r w:rsidR="00323CEB">
        <w:t>at all system voltages</w:t>
      </w:r>
    </w:p>
    <w:p w:rsidR="00E403B8" w:rsidRPr="00E403B8" w:rsidRDefault="00E403B8" w:rsidP="00E403B8">
      <w:pPr>
        <w:jc w:val="both"/>
        <w:rPr>
          <w:b/>
        </w:rPr>
      </w:pPr>
      <w:r w:rsidRPr="00E403B8">
        <w:rPr>
          <w:b/>
        </w:rPr>
        <w:t xml:space="preserve">For GB network </w:t>
      </w:r>
    </w:p>
    <w:p w:rsidR="009B3AA4" w:rsidRDefault="009B3AA4" w:rsidP="009B3AA4">
      <w:pPr>
        <w:pStyle w:val="ListParagraph"/>
        <w:numPr>
          <w:ilvl w:val="0"/>
          <w:numId w:val="25"/>
        </w:numPr>
        <w:jc w:val="both"/>
      </w:pPr>
      <w:r>
        <w:t xml:space="preserve">Show angles and fault levels against a map of the GB network </w:t>
      </w:r>
      <w:r w:rsidR="00323CEB">
        <w:t xml:space="preserve"> and/or system diagram</w:t>
      </w:r>
    </w:p>
    <w:p w:rsidR="009B3AA4" w:rsidRDefault="00E403B8" w:rsidP="009B3AA4">
      <w:pPr>
        <w:pStyle w:val="ListParagraph"/>
        <w:numPr>
          <w:ilvl w:val="0"/>
          <w:numId w:val="25"/>
        </w:numPr>
        <w:jc w:val="both"/>
      </w:pPr>
      <w:r>
        <w:t xml:space="preserve">Provide fault result on more meshed </w:t>
      </w:r>
      <w:r w:rsidR="00323CEB">
        <w:t xml:space="preserve">Transmission </w:t>
      </w:r>
      <w:r>
        <w:t>network (west midland for example)</w:t>
      </w:r>
    </w:p>
    <w:p w:rsidR="00E403B8" w:rsidRPr="00853137" w:rsidRDefault="00E403B8" w:rsidP="009B3AA4">
      <w:pPr>
        <w:pStyle w:val="ListParagraph"/>
        <w:numPr>
          <w:ilvl w:val="0"/>
          <w:numId w:val="25"/>
        </w:numPr>
        <w:jc w:val="both"/>
      </w:pPr>
      <w:r>
        <w:t xml:space="preserve">Show the vector shift on 11 kV bus bar by using typical 33/11kV parameters  </w:t>
      </w:r>
    </w:p>
    <w:sectPr w:rsidR="00E403B8" w:rsidRPr="00853137" w:rsidSect="0038652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72E"/>
    <w:multiLevelType w:val="multilevel"/>
    <w:tmpl w:val="5712AA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230235A"/>
    <w:multiLevelType w:val="multilevel"/>
    <w:tmpl w:val="F2DA5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9A6698"/>
    <w:multiLevelType w:val="multilevel"/>
    <w:tmpl w:val="5712AA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9767FFE"/>
    <w:multiLevelType w:val="hybridMultilevel"/>
    <w:tmpl w:val="29089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587E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4271C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2A2F9C"/>
    <w:multiLevelType w:val="hybridMultilevel"/>
    <w:tmpl w:val="F124815C"/>
    <w:lvl w:ilvl="0" w:tplc="CE34403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AA318E"/>
    <w:multiLevelType w:val="hybridMultilevel"/>
    <w:tmpl w:val="113815EC"/>
    <w:lvl w:ilvl="0" w:tplc="CF3A7334">
      <w:start w:val="10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A660B5B"/>
    <w:multiLevelType w:val="hybridMultilevel"/>
    <w:tmpl w:val="7E5636FA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E333D7"/>
    <w:multiLevelType w:val="hybridMultilevel"/>
    <w:tmpl w:val="970E9CC8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6742F"/>
    <w:multiLevelType w:val="hybridMultilevel"/>
    <w:tmpl w:val="047E97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60B6C"/>
    <w:multiLevelType w:val="hybridMultilevel"/>
    <w:tmpl w:val="3BB84A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F18C7"/>
    <w:multiLevelType w:val="multilevel"/>
    <w:tmpl w:val="217050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57CF56EE"/>
    <w:multiLevelType w:val="multilevel"/>
    <w:tmpl w:val="F2DA5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5134BE0"/>
    <w:multiLevelType w:val="hybridMultilevel"/>
    <w:tmpl w:val="1430E0F6"/>
    <w:lvl w:ilvl="0" w:tplc="E3FAB45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C906B5"/>
    <w:multiLevelType w:val="hybridMultilevel"/>
    <w:tmpl w:val="28A0E3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447D7E"/>
    <w:multiLevelType w:val="multilevel"/>
    <w:tmpl w:val="F2DA5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F07059B"/>
    <w:multiLevelType w:val="hybridMultilevel"/>
    <w:tmpl w:val="30AA6870"/>
    <w:lvl w:ilvl="0" w:tplc="B3D0A7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6"/>
  </w:num>
  <w:num w:numId="7">
    <w:abstractNumId w:val="15"/>
  </w:num>
  <w:num w:numId="8">
    <w:abstractNumId w:val="3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5"/>
  </w:num>
  <w:num w:numId="14">
    <w:abstractNumId w:val="2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0"/>
  </w:num>
  <w:num w:numId="21">
    <w:abstractNumId w:val="12"/>
  </w:num>
  <w:num w:numId="22">
    <w:abstractNumId w:val="4"/>
  </w:num>
  <w:num w:numId="23">
    <w:abstractNumId w:val="4"/>
  </w:num>
  <w:num w:numId="24">
    <w:abstractNumId w:val="17"/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Kay">
    <w15:presenceInfo w15:providerId="Windows Live" w15:userId="9b0699ad4f4de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14"/>
    <w:rsid w:val="00002730"/>
    <w:rsid w:val="00007F7C"/>
    <w:rsid w:val="00032525"/>
    <w:rsid w:val="00046FCA"/>
    <w:rsid w:val="000612A0"/>
    <w:rsid w:val="0006202E"/>
    <w:rsid w:val="0008180C"/>
    <w:rsid w:val="00085C03"/>
    <w:rsid w:val="000E472F"/>
    <w:rsid w:val="00115DDA"/>
    <w:rsid w:val="0013571D"/>
    <w:rsid w:val="00145727"/>
    <w:rsid w:val="0019528D"/>
    <w:rsid w:val="001B52FF"/>
    <w:rsid w:val="001C72C1"/>
    <w:rsid w:val="001D43F1"/>
    <w:rsid w:val="001F1048"/>
    <w:rsid w:val="002105F8"/>
    <w:rsid w:val="00217128"/>
    <w:rsid w:val="00222772"/>
    <w:rsid w:val="002579C9"/>
    <w:rsid w:val="00272127"/>
    <w:rsid w:val="002B372E"/>
    <w:rsid w:val="002B52D8"/>
    <w:rsid w:val="002C3CB3"/>
    <w:rsid w:val="002E783D"/>
    <w:rsid w:val="002F7585"/>
    <w:rsid w:val="00301D04"/>
    <w:rsid w:val="00315D81"/>
    <w:rsid w:val="00323CEB"/>
    <w:rsid w:val="00326F8F"/>
    <w:rsid w:val="00331289"/>
    <w:rsid w:val="00335C8E"/>
    <w:rsid w:val="00341EAF"/>
    <w:rsid w:val="00362A7D"/>
    <w:rsid w:val="003821A9"/>
    <w:rsid w:val="0038652D"/>
    <w:rsid w:val="0039646C"/>
    <w:rsid w:val="003B19D4"/>
    <w:rsid w:val="003B25AC"/>
    <w:rsid w:val="003B6E1F"/>
    <w:rsid w:val="003F184C"/>
    <w:rsid w:val="00420470"/>
    <w:rsid w:val="004372E4"/>
    <w:rsid w:val="0044054D"/>
    <w:rsid w:val="00471FBC"/>
    <w:rsid w:val="004868C5"/>
    <w:rsid w:val="004B622B"/>
    <w:rsid w:val="004C2A29"/>
    <w:rsid w:val="004F226F"/>
    <w:rsid w:val="00516A18"/>
    <w:rsid w:val="00522E68"/>
    <w:rsid w:val="00532FE0"/>
    <w:rsid w:val="0057032B"/>
    <w:rsid w:val="0058064D"/>
    <w:rsid w:val="00586AD1"/>
    <w:rsid w:val="005A0BEE"/>
    <w:rsid w:val="005A604D"/>
    <w:rsid w:val="005C3BD1"/>
    <w:rsid w:val="005C5EBB"/>
    <w:rsid w:val="005E45B1"/>
    <w:rsid w:val="005F42A0"/>
    <w:rsid w:val="00657AA1"/>
    <w:rsid w:val="00680D41"/>
    <w:rsid w:val="00681CB9"/>
    <w:rsid w:val="00697962"/>
    <w:rsid w:val="006A2B88"/>
    <w:rsid w:val="006A7F01"/>
    <w:rsid w:val="006B6475"/>
    <w:rsid w:val="006C4150"/>
    <w:rsid w:val="006E58F4"/>
    <w:rsid w:val="00726426"/>
    <w:rsid w:val="00746DCE"/>
    <w:rsid w:val="007605A6"/>
    <w:rsid w:val="0076625B"/>
    <w:rsid w:val="0077153D"/>
    <w:rsid w:val="00794F22"/>
    <w:rsid w:val="007A6887"/>
    <w:rsid w:val="007C45AF"/>
    <w:rsid w:val="007D0767"/>
    <w:rsid w:val="007E42D9"/>
    <w:rsid w:val="00822BA3"/>
    <w:rsid w:val="00830897"/>
    <w:rsid w:val="00853137"/>
    <w:rsid w:val="00864421"/>
    <w:rsid w:val="008B6412"/>
    <w:rsid w:val="008D4652"/>
    <w:rsid w:val="008E1DA3"/>
    <w:rsid w:val="008F3AA9"/>
    <w:rsid w:val="00923155"/>
    <w:rsid w:val="00923272"/>
    <w:rsid w:val="0092544B"/>
    <w:rsid w:val="0093688E"/>
    <w:rsid w:val="009378CF"/>
    <w:rsid w:val="009912C9"/>
    <w:rsid w:val="009A1155"/>
    <w:rsid w:val="009B2353"/>
    <w:rsid w:val="009B3AA4"/>
    <w:rsid w:val="009B49BD"/>
    <w:rsid w:val="009C0A00"/>
    <w:rsid w:val="009F398D"/>
    <w:rsid w:val="00A60D05"/>
    <w:rsid w:val="00A75DE7"/>
    <w:rsid w:val="00A8543F"/>
    <w:rsid w:val="00AA69D6"/>
    <w:rsid w:val="00AD3E16"/>
    <w:rsid w:val="00AE58EA"/>
    <w:rsid w:val="00B06CBB"/>
    <w:rsid w:val="00B124D6"/>
    <w:rsid w:val="00B15114"/>
    <w:rsid w:val="00B2188F"/>
    <w:rsid w:val="00B40E5E"/>
    <w:rsid w:val="00B50A35"/>
    <w:rsid w:val="00B60F12"/>
    <w:rsid w:val="00B61C81"/>
    <w:rsid w:val="00B66B50"/>
    <w:rsid w:val="00B67A5E"/>
    <w:rsid w:val="00B83D58"/>
    <w:rsid w:val="00C35487"/>
    <w:rsid w:val="00C65850"/>
    <w:rsid w:val="00C96817"/>
    <w:rsid w:val="00D01E2F"/>
    <w:rsid w:val="00D05142"/>
    <w:rsid w:val="00D23072"/>
    <w:rsid w:val="00D62C42"/>
    <w:rsid w:val="00D962C0"/>
    <w:rsid w:val="00DB2F8B"/>
    <w:rsid w:val="00DD45B7"/>
    <w:rsid w:val="00DF19E8"/>
    <w:rsid w:val="00DF6AEE"/>
    <w:rsid w:val="00E24EF7"/>
    <w:rsid w:val="00E403B8"/>
    <w:rsid w:val="00E856F4"/>
    <w:rsid w:val="00E93C7B"/>
    <w:rsid w:val="00EB1E94"/>
    <w:rsid w:val="00EB6BF8"/>
    <w:rsid w:val="00EC260B"/>
    <w:rsid w:val="00EC537C"/>
    <w:rsid w:val="00ED01E3"/>
    <w:rsid w:val="00EF1998"/>
    <w:rsid w:val="00F033F2"/>
    <w:rsid w:val="00F07994"/>
    <w:rsid w:val="00F33FE7"/>
    <w:rsid w:val="00F42D5F"/>
    <w:rsid w:val="00F450BB"/>
    <w:rsid w:val="00F50875"/>
    <w:rsid w:val="00F64580"/>
    <w:rsid w:val="00FA1388"/>
    <w:rsid w:val="00FA79A4"/>
    <w:rsid w:val="00F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5F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5F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5F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5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5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5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5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5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5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84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C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9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2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5F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5F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5F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5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5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5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5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5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5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84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C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9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2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441B-57CC-4185-9D77-5F0603A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2</cp:revision>
  <cp:lastPrinted>2017-01-23T09:14:00Z</cp:lastPrinted>
  <dcterms:created xsi:type="dcterms:W3CDTF">2017-02-07T11:18:00Z</dcterms:created>
  <dcterms:modified xsi:type="dcterms:W3CDTF">2017-02-07T11:18:00Z</dcterms:modified>
</cp:coreProperties>
</file>